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84"/>
        <w:gridCol w:w="1480"/>
        <w:gridCol w:w="851"/>
        <w:gridCol w:w="3260"/>
        <w:gridCol w:w="1270"/>
      </w:tblGrid>
      <w:tr w:rsidR="00BF445D" w:rsidRPr="000F6BD0" w14:paraId="64B5EBB9" w14:textId="77777777" w:rsidTr="009C446B">
        <w:tc>
          <w:tcPr>
            <w:tcW w:w="2484" w:type="dxa"/>
            <w:shd w:val="clear" w:color="auto" w:fill="DEEAF6" w:themeFill="accent1" w:themeFillTint="33"/>
          </w:tcPr>
          <w:p w14:paraId="76701DCE" w14:textId="77777777" w:rsidR="00BF445D" w:rsidRPr="000F6BD0" w:rsidRDefault="0009613C"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Denumirea disciplinei</w:t>
            </w:r>
          </w:p>
        </w:tc>
        <w:tc>
          <w:tcPr>
            <w:tcW w:w="6861" w:type="dxa"/>
            <w:gridSpan w:val="4"/>
          </w:tcPr>
          <w:p w14:paraId="46346FE8" w14:textId="37265E27" w:rsidR="00BF445D" w:rsidRPr="002925CA" w:rsidRDefault="0009613C" w:rsidP="00BF445D">
            <w:pPr>
              <w:rPr>
                <w:rFonts w:ascii="Times New Roman" w:hAnsi="Times New Roman" w:cs="Times New Roman"/>
                <w:i/>
                <w:iCs/>
                <w:sz w:val="24"/>
                <w:szCs w:val="24"/>
                <w:lang w:val="ro-RO"/>
              </w:rPr>
            </w:pPr>
            <w:r w:rsidRPr="002925CA">
              <w:rPr>
                <w:rFonts w:ascii="Times New Roman" w:hAnsi="Times New Roman" w:cs="Times New Roman"/>
                <w:i/>
                <w:iCs/>
                <w:sz w:val="24"/>
                <w:szCs w:val="24"/>
                <w:lang w:val="ro-RO"/>
              </w:rPr>
              <w:t>Limba engleză/franceză</w:t>
            </w:r>
            <w:r w:rsidR="00F6362E" w:rsidRPr="002925CA">
              <w:rPr>
                <w:rFonts w:ascii="Times New Roman" w:hAnsi="Times New Roman" w:cs="Times New Roman"/>
                <w:i/>
                <w:iCs/>
                <w:sz w:val="24"/>
                <w:szCs w:val="24"/>
                <w:lang w:val="ro-RO"/>
              </w:rPr>
              <w:t>. Sănătate Publică</w:t>
            </w:r>
          </w:p>
        </w:tc>
      </w:tr>
      <w:tr w:rsidR="00BF445D" w:rsidRPr="000F6BD0" w14:paraId="1C2E2171" w14:textId="77777777" w:rsidTr="00E56F79">
        <w:tc>
          <w:tcPr>
            <w:tcW w:w="2484" w:type="dxa"/>
          </w:tcPr>
          <w:p w14:paraId="32210D3F" w14:textId="77777777" w:rsidR="00BF445D" w:rsidRPr="000F6BD0" w:rsidRDefault="00BF445D"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T</w:t>
            </w:r>
            <w:r w:rsidR="0009613C" w:rsidRPr="000F6BD0">
              <w:rPr>
                <w:rFonts w:ascii="Times New Roman" w:hAnsi="Times New Roman" w:cs="Times New Roman"/>
                <w:sz w:val="24"/>
                <w:szCs w:val="24"/>
                <w:lang w:val="ro-RO"/>
              </w:rPr>
              <w:t>ipul</w:t>
            </w:r>
          </w:p>
        </w:tc>
        <w:tc>
          <w:tcPr>
            <w:tcW w:w="2331" w:type="dxa"/>
            <w:gridSpan w:val="2"/>
          </w:tcPr>
          <w:p w14:paraId="3905F916" w14:textId="5810B3A4" w:rsidR="00BF445D" w:rsidRPr="000F6BD0" w:rsidRDefault="0009613C"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Obligator</w:t>
            </w:r>
          </w:p>
        </w:tc>
        <w:tc>
          <w:tcPr>
            <w:tcW w:w="3260" w:type="dxa"/>
          </w:tcPr>
          <w:p w14:paraId="35319A9B" w14:textId="77777777" w:rsidR="00BF445D" w:rsidRPr="000F6BD0" w:rsidRDefault="00BF445D"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Credit</w:t>
            </w:r>
            <w:r w:rsidR="0009613C" w:rsidRPr="000F6BD0">
              <w:rPr>
                <w:rFonts w:ascii="Times New Roman" w:hAnsi="Times New Roman" w:cs="Times New Roman"/>
                <w:sz w:val="24"/>
                <w:szCs w:val="24"/>
                <w:lang w:val="ro-RO"/>
              </w:rPr>
              <w:t>e</w:t>
            </w:r>
          </w:p>
        </w:tc>
        <w:tc>
          <w:tcPr>
            <w:tcW w:w="1270" w:type="dxa"/>
            <w:vAlign w:val="center"/>
          </w:tcPr>
          <w:p w14:paraId="4B050F70" w14:textId="77777777" w:rsidR="00BF445D" w:rsidRPr="000F6BD0" w:rsidRDefault="0009613C" w:rsidP="00BF445D">
            <w:pPr>
              <w:jc w:val="center"/>
              <w:rPr>
                <w:rFonts w:ascii="Times New Roman" w:hAnsi="Times New Roman" w:cs="Times New Roman"/>
                <w:sz w:val="24"/>
                <w:szCs w:val="24"/>
                <w:lang w:val="ro-RO"/>
              </w:rPr>
            </w:pPr>
            <w:r w:rsidRPr="000F6BD0">
              <w:rPr>
                <w:rFonts w:ascii="Times New Roman" w:hAnsi="Times New Roman" w:cs="Times New Roman"/>
                <w:sz w:val="24"/>
                <w:szCs w:val="24"/>
                <w:lang w:val="ro-RO"/>
              </w:rPr>
              <w:t>3</w:t>
            </w:r>
          </w:p>
        </w:tc>
      </w:tr>
      <w:tr w:rsidR="00BF445D" w:rsidRPr="000F6BD0" w14:paraId="2C1A951D" w14:textId="77777777" w:rsidTr="007973C0">
        <w:tc>
          <w:tcPr>
            <w:tcW w:w="2484" w:type="dxa"/>
          </w:tcPr>
          <w:p w14:paraId="30C5B927" w14:textId="77777777" w:rsidR="00BF445D" w:rsidRPr="000F6BD0" w:rsidRDefault="0009613C"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Anul de studii</w:t>
            </w:r>
          </w:p>
        </w:tc>
        <w:tc>
          <w:tcPr>
            <w:tcW w:w="2331" w:type="dxa"/>
            <w:gridSpan w:val="2"/>
          </w:tcPr>
          <w:p w14:paraId="2C5CE37D" w14:textId="77777777" w:rsidR="00BF445D" w:rsidRPr="000F6BD0" w:rsidRDefault="00BF445D" w:rsidP="00BF445D">
            <w:pPr>
              <w:jc w:val="center"/>
              <w:rPr>
                <w:rFonts w:ascii="Times New Roman" w:hAnsi="Times New Roman" w:cs="Times New Roman"/>
                <w:sz w:val="24"/>
                <w:szCs w:val="24"/>
                <w:lang w:val="ro-RO"/>
              </w:rPr>
            </w:pPr>
            <w:r w:rsidRPr="000F6BD0">
              <w:rPr>
                <w:rFonts w:ascii="Times New Roman" w:hAnsi="Times New Roman" w:cs="Times New Roman"/>
                <w:sz w:val="24"/>
                <w:szCs w:val="24"/>
                <w:lang w:val="ro-RO"/>
              </w:rPr>
              <w:t>I</w:t>
            </w:r>
          </w:p>
        </w:tc>
        <w:tc>
          <w:tcPr>
            <w:tcW w:w="3260" w:type="dxa"/>
          </w:tcPr>
          <w:p w14:paraId="028FEF7B" w14:textId="77777777" w:rsidR="00BF445D" w:rsidRPr="000F6BD0" w:rsidRDefault="00BF445D"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Semest</w:t>
            </w:r>
            <w:r w:rsidR="00361D2C" w:rsidRPr="000F6BD0">
              <w:rPr>
                <w:rFonts w:ascii="Times New Roman" w:hAnsi="Times New Roman" w:cs="Times New Roman"/>
                <w:sz w:val="24"/>
                <w:szCs w:val="24"/>
                <w:lang w:val="ro-RO"/>
              </w:rPr>
              <w:t>rul</w:t>
            </w:r>
          </w:p>
        </w:tc>
        <w:tc>
          <w:tcPr>
            <w:tcW w:w="1270" w:type="dxa"/>
            <w:vAlign w:val="center"/>
          </w:tcPr>
          <w:p w14:paraId="66E2F695" w14:textId="77777777" w:rsidR="00BF445D" w:rsidRPr="000F6BD0" w:rsidRDefault="00BF445D" w:rsidP="00BF445D">
            <w:pPr>
              <w:jc w:val="center"/>
              <w:rPr>
                <w:rFonts w:ascii="Times New Roman" w:hAnsi="Times New Roman" w:cs="Times New Roman"/>
                <w:sz w:val="24"/>
                <w:szCs w:val="24"/>
                <w:lang w:val="ro-RO"/>
              </w:rPr>
            </w:pPr>
            <w:r w:rsidRPr="000F6BD0">
              <w:rPr>
                <w:rFonts w:ascii="Times New Roman" w:hAnsi="Times New Roman" w:cs="Times New Roman"/>
                <w:sz w:val="24"/>
                <w:szCs w:val="24"/>
                <w:lang w:val="ro-RO"/>
              </w:rPr>
              <w:t>I</w:t>
            </w:r>
            <w:r w:rsidR="0009613C" w:rsidRPr="000F6BD0">
              <w:rPr>
                <w:rFonts w:ascii="Times New Roman" w:hAnsi="Times New Roman" w:cs="Times New Roman"/>
                <w:sz w:val="24"/>
                <w:szCs w:val="24"/>
                <w:lang w:val="ro-RO"/>
              </w:rPr>
              <w:t>-</w:t>
            </w:r>
            <w:r w:rsidRPr="000F6BD0">
              <w:rPr>
                <w:rFonts w:ascii="Times New Roman" w:hAnsi="Times New Roman" w:cs="Times New Roman"/>
                <w:sz w:val="24"/>
                <w:szCs w:val="24"/>
                <w:lang w:val="ro-RO"/>
              </w:rPr>
              <w:t>II</w:t>
            </w:r>
          </w:p>
        </w:tc>
      </w:tr>
      <w:tr w:rsidR="00BF445D" w:rsidRPr="000F6BD0" w14:paraId="5E820295" w14:textId="77777777" w:rsidTr="00E56F79">
        <w:tc>
          <w:tcPr>
            <w:tcW w:w="2484" w:type="dxa"/>
            <w:vMerge w:val="restart"/>
          </w:tcPr>
          <w:p w14:paraId="12D741FE" w14:textId="77777777" w:rsidR="00BF445D" w:rsidRPr="000F6BD0" w:rsidRDefault="00B56CC9"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Num</w:t>
            </w:r>
            <w:r w:rsidR="00F72320" w:rsidRPr="000F6BD0">
              <w:rPr>
                <w:rFonts w:ascii="Times New Roman" w:hAnsi="Times New Roman" w:cs="Times New Roman"/>
                <w:sz w:val="24"/>
                <w:szCs w:val="24"/>
                <w:lang w:val="ro-RO"/>
              </w:rPr>
              <w:t>ărul de ore</w:t>
            </w:r>
          </w:p>
        </w:tc>
        <w:tc>
          <w:tcPr>
            <w:tcW w:w="1480" w:type="dxa"/>
          </w:tcPr>
          <w:p w14:paraId="670B798C" w14:textId="77777777" w:rsidR="00BF445D" w:rsidRPr="000F6BD0" w:rsidRDefault="00361D2C"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Curs</w:t>
            </w:r>
          </w:p>
        </w:tc>
        <w:tc>
          <w:tcPr>
            <w:tcW w:w="851" w:type="dxa"/>
            <w:vAlign w:val="center"/>
          </w:tcPr>
          <w:p w14:paraId="3E42EC9E" w14:textId="77777777" w:rsidR="00BF445D" w:rsidRPr="000F6BD0" w:rsidRDefault="00BF445D" w:rsidP="00BF445D">
            <w:pPr>
              <w:jc w:val="center"/>
              <w:rPr>
                <w:rFonts w:ascii="Times New Roman" w:hAnsi="Times New Roman" w:cs="Times New Roman"/>
                <w:sz w:val="24"/>
                <w:szCs w:val="24"/>
                <w:lang w:val="ro-RO"/>
              </w:rPr>
            </w:pPr>
          </w:p>
        </w:tc>
        <w:tc>
          <w:tcPr>
            <w:tcW w:w="3260" w:type="dxa"/>
          </w:tcPr>
          <w:p w14:paraId="287C2D6F" w14:textId="77777777" w:rsidR="00BF445D" w:rsidRPr="000F6BD0" w:rsidRDefault="00361D2C"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Lucr</w:t>
            </w:r>
            <w:r w:rsidR="00CF7E46">
              <w:rPr>
                <w:rFonts w:ascii="Times New Roman" w:hAnsi="Times New Roman" w:cs="Times New Roman"/>
                <w:sz w:val="24"/>
                <w:szCs w:val="24"/>
                <w:lang w:val="ro-RO"/>
              </w:rPr>
              <w:t>ări</w:t>
            </w:r>
            <w:r w:rsidRPr="000F6BD0">
              <w:rPr>
                <w:rFonts w:ascii="Times New Roman" w:hAnsi="Times New Roman" w:cs="Times New Roman"/>
                <w:sz w:val="24"/>
                <w:szCs w:val="24"/>
                <w:lang w:val="ro-RO"/>
              </w:rPr>
              <w:t xml:space="preserve"> practic</w:t>
            </w:r>
            <w:r w:rsidR="00CF7E46">
              <w:rPr>
                <w:rFonts w:ascii="Times New Roman" w:hAnsi="Times New Roman" w:cs="Times New Roman"/>
                <w:sz w:val="24"/>
                <w:szCs w:val="24"/>
                <w:lang w:val="ro-RO"/>
              </w:rPr>
              <w:t>e</w:t>
            </w:r>
            <w:r w:rsidRPr="000F6BD0">
              <w:rPr>
                <w:rFonts w:ascii="Times New Roman" w:hAnsi="Times New Roman" w:cs="Times New Roman"/>
                <w:sz w:val="24"/>
                <w:szCs w:val="24"/>
                <w:lang w:val="ro-RO"/>
              </w:rPr>
              <w:t>/de laborator</w:t>
            </w:r>
          </w:p>
        </w:tc>
        <w:tc>
          <w:tcPr>
            <w:tcW w:w="1270" w:type="dxa"/>
            <w:vAlign w:val="center"/>
          </w:tcPr>
          <w:p w14:paraId="3EE7D277" w14:textId="77777777" w:rsidR="00BF445D" w:rsidRPr="000F6BD0" w:rsidRDefault="00BF445D" w:rsidP="00BF445D">
            <w:pPr>
              <w:jc w:val="center"/>
              <w:rPr>
                <w:rFonts w:ascii="Times New Roman" w:hAnsi="Times New Roman" w:cs="Times New Roman"/>
                <w:sz w:val="24"/>
                <w:szCs w:val="24"/>
                <w:lang w:val="ro-RO"/>
              </w:rPr>
            </w:pPr>
          </w:p>
        </w:tc>
      </w:tr>
      <w:tr w:rsidR="00BF445D" w:rsidRPr="000F6BD0" w14:paraId="4E8E0E5C" w14:textId="77777777" w:rsidTr="00E56F79">
        <w:tc>
          <w:tcPr>
            <w:tcW w:w="2484" w:type="dxa"/>
            <w:vMerge/>
          </w:tcPr>
          <w:p w14:paraId="3CAA08C9" w14:textId="77777777" w:rsidR="00BF445D" w:rsidRPr="000F6BD0" w:rsidRDefault="00BF445D" w:rsidP="00BF445D">
            <w:pPr>
              <w:rPr>
                <w:rFonts w:ascii="Times New Roman" w:hAnsi="Times New Roman" w:cs="Times New Roman"/>
                <w:sz w:val="24"/>
                <w:szCs w:val="24"/>
                <w:lang w:val="ro-RO"/>
              </w:rPr>
            </w:pPr>
          </w:p>
        </w:tc>
        <w:tc>
          <w:tcPr>
            <w:tcW w:w="1480" w:type="dxa"/>
          </w:tcPr>
          <w:p w14:paraId="621FEE1E" w14:textId="77777777" w:rsidR="00BF445D" w:rsidRPr="000F6BD0" w:rsidRDefault="00BF445D"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Seminar</w:t>
            </w:r>
          </w:p>
        </w:tc>
        <w:tc>
          <w:tcPr>
            <w:tcW w:w="851" w:type="dxa"/>
            <w:vAlign w:val="center"/>
          </w:tcPr>
          <w:p w14:paraId="7DFEF2B3" w14:textId="77777777" w:rsidR="00BF445D" w:rsidRPr="000F6BD0" w:rsidRDefault="0057758D" w:rsidP="00BF445D">
            <w:pPr>
              <w:jc w:val="center"/>
              <w:rPr>
                <w:rFonts w:ascii="Times New Roman" w:hAnsi="Times New Roman" w:cs="Times New Roman"/>
                <w:sz w:val="24"/>
                <w:szCs w:val="24"/>
                <w:lang w:val="ro-RO"/>
              </w:rPr>
            </w:pPr>
            <w:r w:rsidRPr="000F6BD0">
              <w:rPr>
                <w:rFonts w:ascii="Times New Roman" w:hAnsi="Times New Roman" w:cs="Times New Roman"/>
                <w:sz w:val="24"/>
                <w:szCs w:val="24"/>
                <w:lang w:val="ro-RO"/>
              </w:rPr>
              <w:t>45</w:t>
            </w:r>
            <w:r w:rsidR="003C12AB">
              <w:rPr>
                <w:rFonts w:ascii="Times New Roman" w:hAnsi="Times New Roman" w:cs="Times New Roman"/>
                <w:sz w:val="24"/>
                <w:szCs w:val="24"/>
                <w:lang w:val="ro-RO"/>
              </w:rPr>
              <w:t xml:space="preserve">+45 </w:t>
            </w:r>
          </w:p>
        </w:tc>
        <w:tc>
          <w:tcPr>
            <w:tcW w:w="3260" w:type="dxa"/>
          </w:tcPr>
          <w:p w14:paraId="38B1BC42" w14:textId="77777777" w:rsidR="00BF445D" w:rsidRPr="000F6BD0" w:rsidRDefault="000F6BD0"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Lucrul individual</w:t>
            </w:r>
          </w:p>
        </w:tc>
        <w:tc>
          <w:tcPr>
            <w:tcW w:w="1270" w:type="dxa"/>
            <w:vAlign w:val="center"/>
          </w:tcPr>
          <w:p w14:paraId="158FF3F0" w14:textId="77777777" w:rsidR="00BF445D" w:rsidRPr="000F6BD0" w:rsidRDefault="0057758D" w:rsidP="00BF445D">
            <w:pPr>
              <w:jc w:val="center"/>
              <w:rPr>
                <w:rFonts w:ascii="Times New Roman" w:hAnsi="Times New Roman" w:cs="Times New Roman"/>
                <w:sz w:val="24"/>
                <w:szCs w:val="24"/>
                <w:lang w:val="ro-RO"/>
              </w:rPr>
            </w:pPr>
            <w:r w:rsidRPr="000F6BD0">
              <w:rPr>
                <w:rFonts w:ascii="Times New Roman" w:hAnsi="Times New Roman" w:cs="Times New Roman"/>
                <w:sz w:val="24"/>
                <w:szCs w:val="24"/>
                <w:lang w:val="ro-RO"/>
              </w:rPr>
              <w:t>45</w:t>
            </w:r>
            <w:r w:rsidR="003C12AB">
              <w:rPr>
                <w:rFonts w:ascii="Times New Roman" w:hAnsi="Times New Roman" w:cs="Times New Roman"/>
                <w:sz w:val="24"/>
                <w:szCs w:val="24"/>
                <w:lang w:val="ro-RO"/>
              </w:rPr>
              <w:t>+45</w:t>
            </w:r>
          </w:p>
        </w:tc>
      </w:tr>
      <w:tr w:rsidR="00BF445D" w:rsidRPr="000F6BD0" w14:paraId="5A09C194" w14:textId="77777777" w:rsidTr="0030479C">
        <w:tc>
          <w:tcPr>
            <w:tcW w:w="2484" w:type="dxa"/>
          </w:tcPr>
          <w:p w14:paraId="3AC9C6E6" w14:textId="77777777" w:rsidR="00BF445D" w:rsidRPr="000F6BD0" w:rsidRDefault="00BF445D"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Componen</w:t>
            </w:r>
            <w:r w:rsidR="0057758D" w:rsidRPr="000F6BD0">
              <w:rPr>
                <w:rFonts w:ascii="Times New Roman" w:hAnsi="Times New Roman" w:cs="Times New Roman"/>
                <w:sz w:val="24"/>
                <w:szCs w:val="24"/>
                <w:lang w:val="ro-RO"/>
              </w:rPr>
              <w:t>ța</w:t>
            </w:r>
          </w:p>
        </w:tc>
        <w:tc>
          <w:tcPr>
            <w:tcW w:w="6861" w:type="dxa"/>
            <w:gridSpan w:val="4"/>
          </w:tcPr>
          <w:p w14:paraId="69E03979" w14:textId="77777777" w:rsidR="00BF445D" w:rsidRPr="000F6BD0" w:rsidRDefault="0057758D" w:rsidP="00BF445D">
            <w:pPr>
              <w:rPr>
                <w:rFonts w:ascii="Times New Roman" w:hAnsi="Times New Roman" w:cs="Times New Roman"/>
                <w:sz w:val="24"/>
                <w:szCs w:val="24"/>
                <w:lang w:val="ro-RO"/>
              </w:rPr>
            </w:pPr>
            <w:r w:rsidRPr="000F6BD0">
              <w:rPr>
                <w:rFonts w:ascii="Times New Roman" w:hAnsi="Times New Roman" w:cs="Times New Roman"/>
                <w:iCs/>
                <w:sz w:val="24"/>
                <w:szCs w:val="24"/>
                <w:lang w:val="ro-RO"/>
              </w:rPr>
              <w:t>Orientare socio-umană</w:t>
            </w:r>
          </w:p>
        </w:tc>
      </w:tr>
      <w:tr w:rsidR="00BF445D" w:rsidRPr="000F6BD0" w14:paraId="55673D01" w14:textId="77777777" w:rsidTr="0030479C">
        <w:tc>
          <w:tcPr>
            <w:tcW w:w="2484" w:type="dxa"/>
          </w:tcPr>
          <w:p w14:paraId="435436D0" w14:textId="77777777" w:rsidR="00BF445D" w:rsidRPr="000F6BD0" w:rsidRDefault="0057758D"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Titularul de curs</w:t>
            </w:r>
          </w:p>
        </w:tc>
        <w:tc>
          <w:tcPr>
            <w:tcW w:w="6861" w:type="dxa"/>
            <w:gridSpan w:val="4"/>
          </w:tcPr>
          <w:p w14:paraId="10C7A08F" w14:textId="77777777" w:rsidR="00BF445D" w:rsidRPr="000F6BD0" w:rsidRDefault="0057758D"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Olga Tumuruc, Ala David, Liliana Panciuc</w:t>
            </w:r>
          </w:p>
        </w:tc>
      </w:tr>
      <w:tr w:rsidR="00BF445D" w:rsidRPr="000F6BD0" w14:paraId="6A8812FF" w14:textId="77777777" w:rsidTr="0030479C">
        <w:tc>
          <w:tcPr>
            <w:tcW w:w="2484" w:type="dxa"/>
          </w:tcPr>
          <w:p w14:paraId="749C2BE6" w14:textId="77777777" w:rsidR="00BF445D" w:rsidRPr="000F6BD0" w:rsidRDefault="00BF445D"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Loca</w:t>
            </w:r>
            <w:r w:rsidR="009D4EE5" w:rsidRPr="000F6BD0">
              <w:rPr>
                <w:rFonts w:ascii="Times New Roman" w:hAnsi="Times New Roman" w:cs="Times New Roman"/>
                <w:sz w:val="24"/>
                <w:szCs w:val="24"/>
                <w:lang w:val="ro-RO"/>
              </w:rPr>
              <w:t>ție</w:t>
            </w:r>
          </w:p>
        </w:tc>
        <w:tc>
          <w:tcPr>
            <w:tcW w:w="6861" w:type="dxa"/>
            <w:gridSpan w:val="4"/>
          </w:tcPr>
          <w:p w14:paraId="264CFCE9" w14:textId="77777777" w:rsidR="00361D2C" w:rsidRPr="000F6BD0" w:rsidRDefault="00361D2C" w:rsidP="00361D2C">
            <w:pPr>
              <w:rPr>
                <w:rFonts w:ascii="Times New Roman" w:hAnsi="Times New Roman" w:cs="Times New Roman"/>
                <w:sz w:val="24"/>
                <w:szCs w:val="24"/>
                <w:lang w:val="ro-RO"/>
              </w:rPr>
            </w:pPr>
            <w:r w:rsidRPr="000F6BD0">
              <w:rPr>
                <w:rFonts w:ascii="Times New Roman" w:hAnsi="Times New Roman" w:cs="Times New Roman"/>
                <w:sz w:val="24"/>
                <w:szCs w:val="24"/>
                <w:lang w:val="ro-RO"/>
              </w:rPr>
              <w:t>Blocul didactic nr. 3,</w:t>
            </w:r>
          </w:p>
          <w:p w14:paraId="728F2EEA" w14:textId="77777777" w:rsidR="00361D2C" w:rsidRPr="000F6BD0" w:rsidRDefault="00361D2C" w:rsidP="00361D2C">
            <w:pPr>
              <w:rPr>
                <w:rFonts w:ascii="Times New Roman" w:hAnsi="Times New Roman" w:cs="Times New Roman"/>
                <w:sz w:val="24"/>
                <w:szCs w:val="24"/>
                <w:lang w:val="ro-RO"/>
              </w:rPr>
            </w:pPr>
            <w:r w:rsidRPr="000F6BD0">
              <w:rPr>
                <w:rFonts w:ascii="Times New Roman" w:hAnsi="Times New Roman" w:cs="Times New Roman"/>
                <w:sz w:val="24"/>
                <w:szCs w:val="24"/>
                <w:lang w:val="ro-RO"/>
              </w:rPr>
              <w:t>bd. Ştefan cel Mare şi Sfânt, 194A,</w:t>
            </w:r>
          </w:p>
          <w:p w14:paraId="7A07B0A7" w14:textId="77777777" w:rsidR="00361D2C" w:rsidRPr="000F6BD0" w:rsidRDefault="00361D2C" w:rsidP="00361D2C">
            <w:pPr>
              <w:rPr>
                <w:rFonts w:ascii="Times New Roman" w:hAnsi="Times New Roman" w:cs="Times New Roman"/>
                <w:sz w:val="24"/>
                <w:szCs w:val="24"/>
                <w:lang w:val="ro-RO"/>
              </w:rPr>
            </w:pPr>
            <w:r w:rsidRPr="000F6BD0">
              <w:rPr>
                <w:rFonts w:ascii="Times New Roman" w:hAnsi="Times New Roman" w:cs="Times New Roman"/>
                <w:sz w:val="24"/>
                <w:szCs w:val="24"/>
                <w:lang w:val="ro-RO"/>
              </w:rPr>
              <w:t>mun. Chişinău, MD-2004,</w:t>
            </w:r>
            <w:r w:rsidR="000F6BD0" w:rsidRPr="000F6BD0">
              <w:rPr>
                <w:rFonts w:ascii="Times New Roman" w:hAnsi="Times New Roman" w:cs="Times New Roman"/>
                <w:sz w:val="24"/>
                <w:szCs w:val="24"/>
                <w:lang w:val="ro-RO"/>
              </w:rPr>
              <w:t xml:space="preserve"> </w:t>
            </w:r>
            <w:r w:rsidRPr="000F6BD0">
              <w:rPr>
                <w:rFonts w:ascii="Times New Roman" w:hAnsi="Times New Roman" w:cs="Times New Roman"/>
                <w:sz w:val="24"/>
                <w:szCs w:val="24"/>
                <w:lang w:val="ro-RO"/>
              </w:rPr>
              <w:t>Republica Moldova</w:t>
            </w:r>
          </w:p>
          <w:p w14:paraId="1410FB5E" w14:textId="77777777" w:rsidR="00BF445D" w:rsidRPr="000F6BD0" w:rsidRDefault="00361D2C" w:rsidP="00361D2C">
            <w:pPr>
              <w:rPr>
                <w:rFonts w:ascii="Times New Roman" w:hAnsi="Times New Roman" w:cs="Times New Roman"/>
                <w:sz w:val="24"/>
                <w:szCs w:val="24"/>
                <w:lang w:val="ro-RO"/>
              </w:rPr>
            </w:pPr>
            <w:r w:rsidRPr="000F6BD0">
              <w:rPr>
                <w:rFonts w:ascii="Times New Roman" w:hAnsi="Times New Roman" w:cs="Times New Roman"/>
                <w:sz w:val="24"/>
                <w:szCs w:val="24"/>
                <w:lang w:val="ro-RO"/>
              </w:rPr>
              <w:t>(+373) 22 205 204</w:t>
            </w:r>
          </w:p>
        </w:tc>
      </w:tr>
      <w:tr w:rsidR="00BF445D" w:rsidRPr="000F6BD0" w14:paraId="19E05E1A" w14:textId="77777777" w:rsidTr="0030479C">
        <w:tc>
          <w:tcPr>
            <w:tcW w:w="2484" w:type="dxa"/>
            <w:vMerge w:val="restart"/>
          </w:tcPr>
          <w:p w14:paraId="014DB647" w14:textId="77777777" w:rsidR="00BF445D" w:rsidRPr="000F6BD0" w:rsidRDefault="009D4EE5"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Condiționări și exigențe prealabile de:</w:t>
            </w:r>
          </w:p>
        </w:tc>
        <w:tc>
          <w:tcPr>
            <w:tcW w:w="6861" w:type="dxa"/>
            <w:gridSpan w:val="4"/>
          </w:tcPr>
          <w:p w14:paraId="1D567C04" w14:textId="77777777" w:rsidR="00BF445D" w:rsidRPr="000F6BD0" w:rsidRDefault="00361D2C" w:rsidP="00BF445D">
            <w:pPr>
              <w:rPr>
                <w:rFonts w:ascii="Times New Roman" w:hAnsi="Times New Roman" w:cs="Times New Roman"/>
                <w:sz w:val="24"/>
                <w:szCs w:val="24"/>
                <w:lang w:val="ro-RO"/>
              </w:rPr>
            </w:pPr>
            <w:r w:rsidRPr="000F6BD0">
              <w:rPr>
                <w:rFonts w:ascii="Times New Roman" w:hAnsi="Times New Roman" w:cs="Times New Roman"/>
                <w:iCs/>
                <w:sz w:val="24"/>
                <w:szCs w:val="24"/>
                <w:lang w:val="ro-RO"/>
              </w:rPr>
              <w:t>Studierea limbilor străine de specialitate prevăd nivelul minim A2-B1 de cunoaștrere a limbilor străine conform CECRL.</w:t>
            </w:r>
          </w:p>
        </w:tc>
      </w:tr>
      <w:tr w:rsidR="00BF445D" w:rsidRPr="003C12AB" w14:paraId="13FD046C" w14:textId="77777777" w:rsidTr="0030479C">
        <w:tc>
          <w:tcPr>
            <w:tcW w:w="2484" w:type="dxa"/>
            <w:vMerge/>
          </w:tcPr>
          <w:p w14:paraId="4F86D6B6" w14:textId="77777777" w:rsidR="00BF445D" w:rsidRPr="000F6BD0" w:rsidRDefault="00BF445D" w:rsidP="00BF445D">
            <w:pPr>
              <w:rPr>
                <w:rFonts w:ascii="Times New Roman" w:hAnsi="Times New Roman" w:cs="Times New Roman"/>
                <w:sz w:val="24"/>
                <w:szCs w:val="24"/>
                <w:lang w:val="ro-RO"/>
              </w:rPr>
            </w:pPr>
          </w:p>
        </w:tc>
        <w:tc>
          <w:tcPr>
            <w:tcW w:w="6861" w:type="dxa"/>
            <w:gridSpan w:val="4"/>
          </w:tcPr>
          <w:p w14:paraId="02E7DC59" w14:textId="77777777" w:rsidR="00BF445D" w:rsidRPr="000F6BD0" w:rsidRDefault="00361D2C" w:rsidP="00BF445D">
            <w:pPr>
              <w:rPr>
                <w:rFonts w:ascii="Times New Roman" w:hAnsi="Times New Roman" w:cs="Times New Roman"/>
                <w:sz w:val="24"/>
                <w:szCs w:val="24"/>
                <w:lang w:val="ro-RO"/>
              </w:rPr>
            </w:pPr>
            <w:r w:rsidRPr="000F6BD0">
              <w:rPr>
                <w:rFonts w:ascii="Times New Roman" w:hAnsi="Times New Roman" w:cs="Times New Roman"/>
                <w:iCs/>
                <w:sz w:val="24"/>
                <w:szCs w:val="24"/>
                <w:lang w:val="ro-RO"/>
              </w:rPr>
              <w:t>Nivelul minim A2-B1 de cunoaștrere a limbilor străine conform CECRL;</w:t>
            </w:r>
            <w:r w:rsidRPr="000F6BD0">
              <w:rPr>
                <w:rFonts w:ascii="Times New Roman" w:hAnsi="Times New Roman" w:cs="Times New Roman"/>
                <w:sz w:val="24"/>
                <w:szCs w:val="24"/>
                <w:lang w:val="ro-RO"/>
              </w:rPr>
              <w:t xml:space="preserve"> competențe digitale; abilitatea de comunicare și de lucru în echipă;</w:t>
            </w:r>
          </w:p>
        </w:tc>
      </w:tr>
      <w:tr w:rsidR="00BF445D" w:rsidRPr="003C12AB" w14:paraId="4D711889" w14:textId="77777777" w:rsidTr="00E56F79">
        <w:tc>
          <w:tcPr>
            <w:tcW w:w="2484" w:type="dxa"/>
            <w:shd w:val="clear" w:color="auto" w:fill="DEEAF6" w:themeFill="accent1" w:themeFillTint="33"/>
          </w:tcPr>
          <w:p w14:paraId="6C9F5EA7" w14:textId="77777777" w:rsidR="00BF445D" w:rsidRPr="000F6BD0" w:rsidRDefault="009D4EE5"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Misiunea disciplinei</w:t>
            </w:r>
          </w:p>
        </w:tc>
        <w:tc>
          <w:tcPr>
            <w:tcW w:w="6861" w:type="dxa"/>
            <w:gridSpan w:val="4"/>
          </w:tcPr>
          <w:p w14:paraId="38FF1F16" w14:textId="77777777" w:rsidR="00361D2C" w:rsidRPr="000F6BD0" w:rsidRDefault="00361D2C" w:rsidP="00361D2C">
            <w:pPr>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 xml:space="preserve">Disciplina </w:t>
            </w:r>
            <w:r w:rsidRPr="000F6BD0">
              <w:rPr>
                <w:rFonts w:ascii="Times New Roman" w:hAnsi="Times New Roman" w:cs="Times New Roman"/>
                <w:i/>
                <w:sz w:val="24"/>
                <w:szCs w:val="24"/>
                <w:lang w:val="ro-RO"/>
              </w:rPr>
              <w:t>Limbi moderne (limbaj terminologic)</w:t>
            </w:r>
            <w:r w:rsidRPr="000F6BD0">
              <w:rPr>
                <w:rFonts w:ascii="Times New Roman" w:hAnsi="Times New Roman" w:cs="Times New Roman"/>
                <w:sz w:val="24"/>
                <w:szCs w:val="24"/>
                <w:lang w:val="ro-RO"/>
              </w:rPr>
              <w:t xml:space="preserve">,  este un curs practic, destinat studenților pentru aplicarea practică și utilizarea activă în instruirea și activitatea profesională. Cursul de  </w:t>
            </w:r>
            <w:r w:rsidRPr="000F6BD0">
              <w:rPr>
                <w:rFonts w:ascii="Times New Roman" w:hAnsi="Times New Roman" w:cs="Times New Roman"/>
                <w:i/>
                <w:sz w:val="24"/>
                <w:szCs w:val="24"/>
                <w:lang w:val="ro-RO"/>
              </w:rPr>
              <w:t xml:space="preserve">Limbi moderne (limbaj terminologic) </w:t>
            </w:r>
            <w:r w:rsidRPr="000F6BD0">
              <w:rPr>
                <w:rFonts w:ascii="Times New Roman" w:hAnsi="Times New Roman" w:cs="Times New Roman"/>
                <w:sz w:val="24"/>
                <w:szCs w:val="24"/>
                <w:lang w:val="ro-RO"/>
              </w:rPr>
              <w:t>este</w:t>
            </w:r>
            <w:r w:rsidRPr="000F6BD0">
              <w:rPr>
                <w:rFonts w:ascii="Times New Roman" w:hAnsi="Times New Roman" w:cs="Times New Roman"/>
                <w:i/>
                <w:sz w:val="24"/>
                <w:szCs w:val="24"/>
                <w:lang w:val="ro-RO"/>
              </w:rPr>
              <w:t xml:space="preserve"> </w:t>
            </w:r>
            <w:r w:rsidRPr="000F6BD0">
              <w:rPr>
                <w:rFonts w:ascii="Times New Roman" w:hAnsi="Times New Roman" w:cs="Times New Roman"/>
                <w:sz w:val="24"/>
                <w:szCs w:val="24"/>
                <w:lang w:val="ro-RO"/>
              </w:rPr>
              <w:t xml:space="preserve">orientat spre formarea competențelor lingvistice stabilite de Cadrul European Comun de Referință pentru Limbi /CECRL/. Cursul de  </w:t>
            </w:r>
            <w:r w:rsidRPr="000F6BD0">
              <w:rPr>
                <w:rFonts w:ascii="Times New Roman" w:hAnsi="Times New Roman" w:cs="Times New Roman"/>
                <w:i/>
                <w:sz w:val="24"/>
                <w:szCs w:val="24"/>
                <w:lang w:val="ro-RO"/>
              </w:rPr>
              <w:t>Limbi moderne (limbaj terminologic)</w:t>
            </w:r>
            <w:r w:rsidRPr="000F6BD0">
              <w:rPr>
                <w:rFonts w:ascii="Times New Roman" w:hAnsi="Times New Roman" w:cs="Times New Roman"/>
                <w:sz w:val="24"/>
                <w:szCs w:val="24"/>
                <w:lang w:val="ro-RO"/>
              </w:rPr>
              <w:t xml:space="preserve"> vizează însușirea limbajului terminologic medical esențial, formând studenților competențe lingvistice solide, necesare mobilității academice, integrării interculturale și profesionale. </w:t>
            </w:r>
          </w:p>
          <w:p w14:paraId="0D172EF5" w14:textId="13C88CFF" w:rsidR="00BF445D" w:rsidRPr="00A3474E" w:rsidRDefault="00361D2C" w:rsidP="00A3474E">
            <w:pPr>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Orientarea formativă a învățământului universitar și formarea profesională a studenților sunt un cadru de referință a sistemului de formare profesională a specialiștilor în domeniul sănătății publice pentru comunicarea în limba străină, pentru facilitarea comunicării în spațiul internațional, pentru cooperarea în domeniul sănătății publice și  pentru a deveni competitivi pe piața muncii.</w:t>
            </w:r>
          </w:p>
        </w:tc>
      </w:tr>
      <w:tr w:rsidR="00BF445D" w:rsidRPr="003C12AB" w14:paraId="668AC082" w14:textId="77777777" w:rsidTr="00E56F79">
        <w:tc>
          <w:tcPr>
            <w:tcW w:w="2484" w:type="dxa"/>
          </w:tcPr>
          <w:p w14:paraId="06C72E11" w14:textId="77777777" w:rsidR="00BF445D" w:rsidRPr="000F6BD0" w:rsidRDefault="009D4EE5" w:rsidP="00BF445D">
            <w:pPr>
              <w:rPr>
                <w:rFonts w:ascii="Times New Roman" w:hAnsi="Times New Roman" w:cs="Times New Roman"/>
                <w:sz w:val="24"/>
                <w:szCs w:val="24"/>
                <w:lang w:val="ro-RO"/>
              </w:rPr>
            </w:pPr>
            <w:r w:rsidRPr="000F6BD0">
              <w:rPr>
                <w:rFonts w:ascii="Times New Roman" w:hAnsi="Times New Roman" w:cs="Times New Roman"/>
                <w:sz w:val="24"/>
                <w:szCs w:val="24"/>
                <w:lang w:val="ro-RO"/>
              </w:rPr>
              <w:t>Tematica prezentată</w:t>
            </w:r>
          </w:p>
        </w:tc>
        <w:tc>
          <w:tcPr>
            <w:tcW w:w="6861" w:type="dxa"/>
            <w:gridSpan w:val="4"/>
          </w:tcPr>
          <w:p w14:paraId="223F040A" w14:textId="77777777" w:rsidR="00BF445D" w:rsidRPr="000F6BD0" w:rsidRDefault="00361D2C" w:rsidP="00BF445D">
            <w:pPr>
              <w:rPr>
                <w:rFonts w:ascii="Times New Roman" w:hAnsi="Times New Roman" w:cs="Times New Roman"/>
                <w:sz w:val="24"/>
                <w:szCs w:val="24"/>
                <w:lang w:val="ro-RO"/>
              </w:rPr>
            </w:pPr>
            <w:r w:rsidRPr="000F6BD0">
              <w:rPr>
                <w:rStyle w:val="Strong"/>
                <w:rFonts w:ascii="Times New Roman" w:hAnsi="Times New Roman" w:cs="Times New Roman"/>
                <w:b w:val="0"/>
                <w:bCs w:val="0"/>
                <w:sz w:val="24"/>
                <w:szCs w:val="24"/>
                <w:lang w:val="ro-RO"/>
              </w:rPr>
              <w:t>Introducere în sănătatea publică.</w:t>
            </w:r>
            <w:r w:rsidRPr="000F6BD0">
              <w:rPr>
                <w:rFonts w:ascii="Times New Roman" w:hAnsi="Times New Roman" w:cs="Times New Roman"/>
                <w:sz w:val="24"/>
                <w:szCs w:val="24"/>
                <w:lang w:val="ro-RO"/>
              </w:rPr>
              <w:t xml:space="preserve"> </w:t>
            </w:r>
            <w:r w:rsidRPr="000F6BD0">
              <w:rPr>
                <w:rStyle w:val="Strong"/>
                <w:rFonts w:ascii="Times New Roman" w:hAnsi="Times New Roman" w:cs="Times New Roman"/>
                <w:b w:val="0"/>
                <w:bCs w:val="0"/>
                <w:sz w:val="24"/>
                <w:szCs w:val="24"/>
                <w:lang w:val="ro-RO"/>
              </w:rPr>
              <w:t>Istoria sănătății publice.</w:t>
            </w:r>
            <w:r w:rsidRPr="000F6BD0">
              <w:rPr>
                <w:rFonts w:ascii="Times New Roman" w:hAnsi="Times New Roman" w:cs="Times New Roman"/>
                <w:sz w:val="24"/>
                <w:szCs w:val="24"/>
                <w:lang w:val="ro-RO"/>
              </w:rPr>
              <w:t xml:space="preserve"> </w:t>
            </w:r>
            <w:r w:rsidRPr="000F6BD0">
              <w:rPr>
                <w:rStyle w:val="Strong"/>
                <w:rFonts w:ascii="Times New Roman" w:hAnsi="Times New Roman" w:cs="Times New Roman"/>
                <w:b w:val="0"/>
                <w:bCs w:val="0"/>
                <w:sz w:val="24"/>
                <w:szCs w:val="24"/>
                <w:lang w:val="ro-RO"/>
              </w:rPr>
              <w:t>Facultatea de Sănătate Publică. Specialiștii în sănătate publică (echipe multidisciplinare).</w:t>
            </w:r>
            <w:r w:rsidRPr="000F6BD0">
              <w:rPr>
                <w:rFonts w:ascii="Times New Roman" w:hAnsi="Times New Roman" w:cs="Times New Roman"/>
                <w:sz w:val="24"/>
                <w:szCs w:val="24"/>
                <w:lang w:val="ro-RO"/>
              </w:rPr>
              <w:t xml:space="preserve"> </w:t>
            </w:r>
            <w:r w:rsidRPr="000F6BD0">
              <w:rPr>
                <w:rStyle w:val="Strong"/>
                <w:rFonts w:ascii="Times New Roman" w:hAnsi="Times New Roman" w:cs="Times New Roman"/>
                <w:b w:val="0"/>
                <w:bCs w:val="0"/>
                <w:sz w:val="24"/>
                <w:szCs w:val="24"/>
                <w:lang w:val="ro-RO"/>
              </w:rPr>
              <w:t>Apa. Salubritatea. Igiena. Sănătatea, securitatea și mediul. Siguranța alimentelor. Sănătatea ocupațională.</w:t>
            </w:r>
            <w:r w:rsidRPr="000F6BD0">
              <w:rPr>
                <w:rFonts w:ascii="Times New Roman" w:hAnsi="Times New Roman" w:cs="Times New Roman"/>
                <w:sz w:val="24"/>
                <w:szCs w:val="24"/>
                <w:lang w:val="ro-RO"/>
              </w:rPr>
              <w:t xml:space="preserve"> </w:t>
            </w:r>
            <w:r w:rsidRPr="000F6BD0">
              <w:rPr>
                <w:rStyle w:val="Strong"/>
                <w:rFonts w:ascii="Times New Roman" w:hAnsi="Times New Roman" w:cs="Times New Roman"/>
                <w:b w:val="0"/>
                <w:bCs w:val="0"/>
                <w:sz w:val="24"/>
                <w:szCs w:val="24"/>
                <w:lang w:val="ro-RO"/>
              </w:rPr>
              <w:t xml:space="preserve">Statistica și informatica în sănătate. Cooperarea internațională în domeniul sănătății. Organizații mondiale de sănătate. Imunitatea. Mecanismele de apărare ale organismului uman. Imunizarea. Concept. Caracteristici. Antibioticele. Rezistență la antibiotice. Epidemiologia. Caracteristici. Promovarea sănătății și educației pentru sănătate. Modele de schimbare a comportamentului. Etica sănătății publice. Conceptele de sănătate și boală. Bolile transmisibile.  </w:t>
            </w:r>
            <w:r w:rsidRPr="000F6BD0">
              <w:rPr>
                <w:rFonts w:ascii="Times New Roman" w:hAnsi="Times New Roman" w:cs="Times New Roman"/>
                <w:sz w:val="24"/>
                <w:szCs w:val="24"/>
                <w:lang w:val="ro-RO"/>
              </w:rPr>
              <w:t xml:space="preserve"> </w:t>
            </w:r>
            <w:r w:rsidRPr="000F6BD0">
              <w:rPr>
                <w:rStyle w:val="Strong"/>
                <w:rFonts w:ascii="Times New Roman" w:hAnsi="Times New Roman" w:cs="Times New Roman"/>
                <w:b w:val="0"/>
                <w:bCs w:val="0"/>
                <w:sz w:val="24"/>
                <w:szCs w:val="24"/>
                <w:lang w:val="ro-RO"/>
              </w:rPr>
              <w:t>Infecții ale tractul gastro-intestinal. Infecții ale pielii și mucoaselor. Infecții ale tractul respirator.</w:t>
            </w:r>
            <w:r w:rsidRPr="000F6BD0">
              <w:rPr>
                <w:rFonts w:ascii="Times New Roman" w:hAnsi="Times New Roman" w:cs="Times New Roman"/>
                <w:sz w:val="24"/>
                <w:szCs w:val="24"/>
                <w:lang w:val="ro-RO"/>
              </w:rPr>
              <w:t xml:space="preserve"> </w:t>
            </w:r>
            <w:r w:rsidRPr="000F6BD0">
              <w:rPr>
                <w:rStyle w:val="Strong"/>
                <w:rFonts w:ascii="Times New Roman" w:hAnsi="Times New Roman" w:cs="Times New Roman"/>
                <w:b w:val="0"/>
                <w:bCs w:val="0"/>
                <w:sz w:val="24"/>
                <w:szCs w:val="24"/>
                <w:lang w:val="ro-RO"/>
              </w:rPr>
              <w:t xml:space="preserve">Bolile transmise de insecte (artropode). Bolile netransmisibile. Bolile cardiovasculare. </w:t>
            </w:r>
            <w:r w:rsidRPr="000F6BD0">
              <w:rPr>
                <w:rFonts w:ascii="Times New Roman" w:hAnsi="Times New Roman" w:cs="Times New Roman"/>
                <w:sz w:val="24"/>
                <w:szCs w:val="24"/>
                <w:lang w:val="ro-RO"/>
              </w:rPr>
              <w:t xml:space="preserve">Cancerul. </w:t>
            </w:r>
            <w:r w:rsidRPr="000F6BD0">
              <w:rPr>
                <w:rStyle w:val="Strong"/>
                <w:rFonts w:ascii="Times New Roman" w:hAnsi="Times New Roman" w:cs="Times New Roman"/>
                <w:b w:val="0"/>
                <w:bCs w:val="0"/>
                <w:sz w:val="24"/>
                <w:szCs w:val="24"/>
                <w:lang w:val="ro-RO"/>
              </w:rPr>
              <w:t xml:space="preserve">Bolile cronice ale sistemului respirator. </w:t>
            </w:r>
            <w:r w:rsidRPr="000F6BD0">
              <w:rPr>
                <w:rFonts w:ascii="Times New Roman" w:hAnsi="Times New Roman" w:cs="Times New Roman"/>
                <w:sz w:val="24"/>
                <w:szCs w:val="24"/>
                <w:lang w:val="ro-RO"/>
              </w:rPr>
              <w:t xml:space="preserve">Diabetul. </w:t>
            </w:r>
            <w:r w:rsidRPr="000F6BD0">
              <w:rPr>
                <w:rStyle w:val="Strong"/>
                <w:rFonts w:ascii="Times New Roman" w:hAnsi="Times New Roman" w:cs="Times New Roman"/>
                <w:b w:val="0"/>
                <w:bCs w:val="0"/>
                <w:sz w:val="24"/>
                <w:szCs w:val="24"/>
                <w:lang w:val="ro-RO"/>
              </w:rPr>
              <w:t>Tulburările de alimentație. Sănătatea mintală. Sociologia medicală, politicile sociale și economice în sănătate.</w:t>
            </w:r>
          </w:p>
        </w:tc>
      </w:tr>
      <w:tr w:rsidR="00361D2C" w:rsidRPr="003C12AB" w14:paraId="0FBD29D4" w14:textId="77777777" w:rsidTr="00E56F79">
        <w:tc>
          <w:tcPr>
            <w:tcW w:w="2484" w:type="dxa"/>
            <w:shd w:val="clear" w:color="auto" w:fill="DEEAF6" w:themeFill="accent1" w:themeFillTint="33"/>
          </w:tcPr>
          <w:p w14:paraId="74082300" w14:textId="77777777" w:rsidR="00361D2C" w:rsidRPr="000F6BD0" w:rsidRDefault="00361D2C" w:rsidP="00361D2C">
            <w:pPr>
              <w:rPr>
                <w:rFonts w:ascii="Times New Roman" w:hAnsi="Times New Roman" w:cs="Times New Roman"/>
                <w:sz w:val="24"/>
                <w:szCs w:val="24"/>
                <w:lang w:val="ro-RO"/>
              </w:rPr>
            </w:pPr>
            <w:r w:rsidRPr="000F6BD0">
              <w:rPr>
                <w:rFonts w:ascii="Times New Roman" w:hAnsi="Times New Roman" w:cs="Times New Roman"/>
                <w:sz w:val="24"/>
                <w:szCs w:val="24"/>
                <w:lang w:val="ro-RO"/>
              </w:rPr>
              <w:t>Finalități de studiu</w:t>
            </w:r>
          </w:p>
        </w:tc>
        <w:tc>
          <w:tcPr>
            <w:tcW w:w="6861" w:type="dxa"/>
            <w:gridSpan w:val="4"/>
          </w:tcPr>
          <w:p w14:paraId="7733A6CA" w14:textId="77777777" w:rsidR="00361D2C" w:rsidRPr="000F6BD0" w:rsidRDefault="00361D2C" w:rsidP="00361D2C">
            <w:pPr>
              <w:pStyle w:val="ListParagraph"/>
              <w:numPr>
                <w:ilvl w:val="0"/>
                <w:numId w:val="9"/>
              </w:numPr>
              <w:ind w:left="284" w:hanging="284"/>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 xml:space="preserve">să definească particularitățile limbajului și terminologiei medicale generale în limba străină; </w:t>
            </w:r>
          </w:p>
          <w:p w14:paraId="139293E3" w14:textId="77777777" w:rsidR="00361D2C" w:rsidRPr="000F6BD0" w:rsidRDefault="00361D2C" w:rsidP="00361D2C">
            <w:pPr>
              <w:pStyle w:val="ListParagraph"/>
              <w:numPr>
                <w:ilvl w:val="0"/>
                <w:numId w:val="8"/>
              </w:numPr>
              <w:ind w:left="284" w:hanging="284"/>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identifice simbolurile de specialitate și particularitațile limbajului medical utilizat în domeniul sănătății publice;</w:t>
            </w:r>
          </w:p>
          <w:p w14:paraId="794032B8" w14:textId="77777777" w:rsidR="00361D2C" w:rsidRPr="000F6BD0" w:rsidRDefault="00361D2C" w:rsidP="00361D2C">
            <w:pPr>
              <w:pStyle w:val="ListParagraph"/>
              <w:numPr>
                <w:ilvl w:val="0"/>
                <w:numId w:val="8"/>
              </w:numPr>
              <w:ind w:left="284" w:hanging="284"/>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lastRenderedPageBreak/>
              <w:t>să utilizeze lexicul autentic specializat în comunicarea curentă în cadrul activității profesionale ;</w:t>
            </w:r>
          </w:p>
          <w:p w14:paraId="2EE6B315" w14:textId="77777777" w:rsidR="00361D2C" w:rsidRPr="000F6BD0" w:rsidRDefault="00361D2C" w:rsidP="00361D2C">
            <w:pPr>
              <w:pStyle w:val="ListParagraph"/>
              <w:numPr>
                <w:ilvl w:val="0"/>
                <w:numId w:val="8"/>
              </w:numPr>
              <w:ind w:left="284" w:hanging="284"/>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aplice mecanismele de formare și specificul unui mesaj sau enunț cu aspect profesional ;</w:t>
            </w:r>
          </w:p>
          <w:p w14:paraId="6370F861" w14:textId="77777777" w:rsidR="00361D2C" w:rsidRPr="000F6BD0" w:rsidRDefault="00361D2C" w:rsidP="00361D2C">
            <w:pPr>
              <w:pStyle w:val="ListParagraph"/>
              <w:numPr>
                <w:ilvl w:val="0"/>
                <w:numId w:val="8"/>
              </w:numPr>
              <w:ind w:left="284" w:hanging="284"/>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definească structurile gramaticale caracteristice limbii străine cu aspect profesional;</w:t>
            </w:r>
          </w:p>
          <w:p w14:paraId="7FF59393" w14:textId="77777777" w:rsidR="00361D2C" w:rsidRPr="000F6BD0" w:rsidRDefault="00361D2C" w:rsidP="00361D2C">
            <w:pPr>
              <w:pStyle w:val="ListParagraph"/>
              <w:numPr>
                <w:ilvl w:val="0"/>
                <w:numId w:val="8"/>
              </w:numPr>
              <w:ind w:left="284" w:hanging="284"/>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identifice limbajul medical utilizat în domeniul sănătății publice în scopul utilizării ulterioare a competenţelor lingvistice şi de comunicare (exprimare orală şi  scrisă);</w:t>
            </w:r>
          </w:p>
          <w:p w14:paraId="0B2B75A7" w14:textId="77777777" w:rsidR="00361D2C" w:rsidRPr="000F6BD0" w:rsidRDefault="00361D2C" w:rsidP="00361D2C">
            <w:pPr>
              <w:pStyle w:val="ListParagraph"/>
              <w:numPr>
                <w:ilvl w:val="0"/>
                <w:numId w:val="8"/>
              </w:numPr>
              <w:ind w:left="284" w:hanging="284"/>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formuleze principii de bază și noţiuni din domeniul sănătății publice necesare în colaborarea și participarea ulterioară în cadrul conferințelor/ proiectelor internaționale;</w:t>
            </w:r>
          </w:p>
          <w:p w14:paraId="1D4D35E7" w14:textId="77777777" w:rsidR="00361D2C" w:rsidRPr="000F6BD0" w:rsidRDefault="00361D2C" w:rsidP="00361D2C">
            <w:pPr>
              <w:numPr>
                <w:ilvl w:val="0"/>
                <w:numId w:val="7"/>
              </w:numPr>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 xml:space="preserve"> să  interpreteze idei, proiecte, procese, conținuturi teoretice și practice ale disciplinei;</w:t>
            </w:r>
          </w:p>
          <w:p w14:paraId="3619952B" w14:textId="77777777" w:rsidR="00361D2C" w:rsidRPr="000F6BD0" w:rsidRDefault="00361D2C" w:rsidP="00361D2C">
            <w:pPr>
              <w:numPr>
                <w:ilvl w:val="0"/>
                <w:numId w:val="7"/>
              </w:numPr>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aplice deprinderile de citire orientativă (articole), cursivă (comprehensiunea conținutului unui text de specialitate), selectivă (sintetizarea informației) şi totală (comprehensiunea integrală a conținutului  textului);</w:t>
            </w:r>
          </w:p>
          <w:p w14:paraId="0E7C5995" w14:textId="77777777" w:rsidR="00361D2C" w:rsidRPr="000F6BD0" w:rsidRDefault="00361D2C" w:rsidP="00361D2C">
            <w:pPr>
              <w:numPr>
                <w:ilvl w:val="0"/>
                <w:numId w:val="7"/>
              </w:numPr>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reproducă textul de specialitate  în limba străină ;</w:t>
            </w:r>
          </w:p>
          <w:p w14:paraId="53855D21" w14:textId="77777777" w:rsidR="00361D2C" w:rsidRPr="000F6BD0" w:rsidRDefault="00361D2C" w:rsidP="00361D2C">
            <w:pPr>
              <w:numPr>
                <w:ilvl w:val="0"/>
                <w:numId w:val="7"/>
              </w:numPr>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 xml:space="preserve">să utilizeze traducerea unor texte, articole, documente, prescripții în limba străină; </w:t>
            </w:r>
          </w:p>
          <w:p w14:paraId="3E529713" w14:textId="77777777" w:rsidR="00361D2C" w:rsidRPr="000F6BD0" w:rsidRDefault="00361D2C" w:rsidP="00361D2C">
            <w:pPr>
              <w:numPr>
                <w:ilvl w:val="0"/>
                <w:numId w:val="7"/>
              </w:numPr>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dezvolte capacităţi de selectare, sintetizare şi rezumare;</w:t>
            </w:r>
          </w:p>
          <w:p w14:paraId="56F8540C" w14:textId="6B2A895B" w:rsidR="00361D2C" w:rsidRPr="00A3474E" w:rsidRDefault="00361D2C" w:rsidP="00361D2C">
            <w:pPr>
              <w:numPr>
                <w:ilvl w:val="0"/>
                <w:numId w:val="7"/>
              </w:numPr>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dezvolte  abilități de comunicare pentru a iniția discuții, dialoguri, dezbateri tematice în situații profesionale ;</w:t>
            </w:r>
          </w:p>
        </w:tc>
      </w:tr>
      <w:tr w:rsidR="00361D2C" w:rsidRPr="003C12AB" w14:paraId="55CDB302" w14:textId="77777777" w:rsidTr="00E56F79">
        <w:tc>
          <w:tcPr>
            <w:tcW w:w="2484" w:type="dxa"/>
          </w:tcPr>
          <w:p w14:paraId="66FA644F" w14:textId="77777777" w:rsidR="00361D2C" w:rsidRPr="000F6BD0" w:rsidRDefault="00361D2C" w:rsidP="00361D2C">
            <w:pPr>
              <w:rPr>
                <w:rFonts w:ascii="Times New Roman" w:hAnsi="Times New Roman" w:cs="Times New Roman"/>
                <w:sz w:val="24"/>
                <w:szCs w:val="24"/>
                <w:lang w:val="ro-RO"/>
              </w:rPr>
            </w:pPr>
            <w:r w:rsidRPr="000F6BD0">
              <w:rPr>
                <w:rFonts w:ascii="Times New Roman" w:hAnsi="Times New Roman" w:cs="Times New Roman"/>
                <w:sz w:val="24"/>
                <w:szCs w:val="24"/>
                <w:lang w:val="ro-RO"/>
              </w:rPr>
              <w:lastRenderedPageBreak/>
              <w:t>Manopere/Deprinderi practice achiziționate</w:t>
            </w:r>
          </w:p>
          <w:p w14:paraId="2EE710AE" w14:textId="77777777" w:rsidR="00361D2C" w:rsidRPr="000F6BD0" w:rsidRDefault="00361D2C" w:rsidP="00361D2C">
            <w:pPr>
              <w:rPr>
                <w:rFonts w:ascii="Times New Roman" w:hAnsi="Times New Roman" w:cs="Times New Roman"/>
                <w:sz w:val="24"/>
                <w:szCs w:val="24"/>
                <w:lang w:val="ro-RO"/>
              </w:rPr>
            </w:pPr>
          </w:p>
        </w:tc>
        <w:tc>
          <w:tcPr>
            <w:tcW w:w="6861" w:type="dxa"/>
            <w:gridSpan w:val="4"/>
          </w:tcPr>
          <w:p w14:paraId="71779EDA" w14:textId="77777777" w:rsidR="00361D2C" w:rsidRPr="000F6BD0" w:rsidRDefault="00361D2C" w:rsidP="00361D2C">
            <w:pPr>
              <w:pStyle w:val="ListParagraph"/>
              <w:numPr>
                <w:ilvl w:val="0"/>
                <w:numId w:val="10"/>
              </w:numPr>
              <w:ind w:left="284"/>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facă analiza și sinteza informației din surse autentice  și s-o prezente   în formă orală sau scrisă;</w:t>
            </w:r>
          </w:p>
          <w:p w14:paraId="15160184" w14:textId="77777777" w:rsidR="00361D2C" w:rsidRPr="000F6BD0" w:rsidRDefault="00361D2C" w:rsidP="00361D2C">
            <w:pPr>
              <w:pStyle w:val="ListParagraph"/>
              <w:numPr>
                <w:ilvl w:val="0"/>
                <w:numId w:val="10"/>
              </w:numPr>
              <w:ind w:left="284"/>
              <w:jc w:val="both"/>
              <w:rPr>
                <w:rFonts w:ascii="Times New Roman" w:hAnsi="Times New Roman" w:cs="Times New Roman"/>
                <w:sz w:val="24"/>
                <w:szCs w:val="24"/>
                <w:lang w:val="ro-RO"/>
              </w:rPr>
            </w:pPr>
            <w:r w:rsidRPr="000F6BD0">
              <w:rPr>
                <w:rFonts w:ascii="Times New Roman" w:hAnsi="Times New Roman" w:cs="Times New Roman"/>
                <w:sz w:val="24"/>
                <w:szCs w:val="24"/>
                <w:lang w:val="ro-RO"/>
              </w:rPr>
              <w:t>să utilizeze cunoștințele și abilitățile de comunicare  într-un mediu profesional, folosind tematicile specifice domeniului sănătății în scopul promovării unui dialog intercultural și interdisciplinar;</w:t>
            </w:r>
          </w:p>
          <w:p w14:paraId="0844E339" w14:textId="77777777" w:rsidR="00361D2C" w:rsidRPr="000F6BD0" w:rsidRDefault="00361D2C" w:rsidP="00361D2C">
            <w:pPr>
              <w:rPr>
                <w:rFonts w:ascii="Times New Roman" w:hAnsi="Times New Roman" w:cs="Times New Roman"/>
                <w:sz w:val="24"/>
                <w:szCs w:val="24"/>
                <w:lang w:val="ro-RO"/>
              </w:rPr>
            </w:pPr>
            <w:r w:rsidRPr="000F6BD0">
              <w:rPr>
                <w:rFonts w:ascii="Times New Roman" w:hAnsi="Times New Roman" w:cs="Times New Roman"/>
                <w:sz w:val="24"/>
                <w:szCs w:val="24"/>
                <w:lang w:val="ro-RO"/>
              </w:rPr>
              <w:t>să implementeze cunoștințele dobândite  în activitatea de cercetare/redactare a unor lucrări de specialitate în limba străină.</w:t>
            </w:r>
          </w:p>
        </w:tc>
      </w:tr>
      <w:tr w:rsidR="00361D2C" w:rsidRPr="000F6BD0" w14:paraId="62D667A3" w14:textId="77777777" w:rsidTr="00E56F79">
        <w:tc>
          <w:tcPr>
            <w:tcW w:w="2484" w:type="dxa"/>
            <w:shd w:val="clear" w:color="auto" w:fill="DEEAF6" w:themeFill="accent1" w:themeFillTint="33"/>
          </w:tcPr>
          <w:p w14:paraId="4F59417F" w14:textId="77777777" w:rsidR="00361D2C" w:rsidRPr="000F6BD0" w:rsidRDefault="00361D2C" w:rsidP="00361D2C">
            <w:pPr>
              <w:rPr>
                <w:rFonts w:ascii="Times New Roman" w:hAnsi="Times New Roman" w:cs="Times New Roman"/>
                <w:sz w:val="24"/>
                <w:szCs w:val="24"/>
                <w:lang w:val="ro-RO"/>
              </w:rPr>
            </w:pPr>
            <w:r w:rsidRPr="000F6BD0">
              <w:rPr>
                <w:rFonts w:ascii="Times New Roman" w:hAnsi="Times New Roman" w:cs="Times New Roman"/>
                <w:sz w:val="24"/>
                <w:szCs w:val="24"/>
                <w:lang w:val="ro-RO"/>
              </w:rPr>
              <w:t>Forma de evaluare</w:t>
            </w:r>
          </w:p>
        </w:tc>
        <w:tc>
          <w:tcPr>
            <w:tcW w:w="6861" w:type="dxa"/>
            <w:gridSpan w:val="4"/>
          </w:tcPr>
          <w:p w14:paraId="2E3282F3" w14:textId="5A895CF2" w:rsidR="00361D2C" w:rsidRPr="000F6BD0" w:rsidRDefault="00361D2C" w:rsidP="00361D2C">
            <w:pPr>
              <w:rPr>
                <w:rFonts w:ascii="Times New Roman" w:hAnsi="Times New Roman" w:cs="Times New Roman"/>
                <w:sz w:val="24"/>
                <w:szCs w:val="24"/>
                <w:lang w:val="ro-RO"/>
              </w:rPr>
            </w:pPr>
            <w:r w:rsidRPr="000F6BD0">
              <w:rPr>
                <w:rFonts w:ascii="Times New Roman" w:hAnsi="Times New Roman" w:cs="Times New Roman"/>
                <w:sz w:val="24"/>
                <w:szCs w:val="24"/>
                <w:lang w:val="ro-RO"/>
              </w:rPr>
              <w:t>E</w:t>
            </w:r>
            <w:r w:rsidR="00A3474E">
              <w:rPr>
                <w:rFonts w:ascii="Times New Roman" w:hAnsi="Times New Roman" w:cs="Times New Roman"/>
                <w:sz w:val="24"/>
                <w:szCs w:val="24"/>
                <w:lang w:val="ro-RO"/>
              </w:rPr>
              <w:t>xamen</w:t>
            </w:r>
            <w:r w:rsidR="003C12AB">
              <w:rPr>
                <w:rFonts w:ascii="Times New Roman" w:hAnsi="Times New Roman" w:cs="Times New Roman"/>
                <w:sz w:val="24"/>
                <w:szCs w:val="24"/>
                <w:lang w:val="ro-RO"/>
              </w:rPr>
              <w:t>/ E</w:t>
            </w:r>
            <w:r w:rsidR="00A3474E">
              <w:rPr>
                <w:rFonts w:ascii="Times New Roman" w:hAnsi="Times New Roman" w:cs="Times New Roman"/>
                <w:sz w:val="24"/>
                <w:szCs w:val="24"/>
                <w:lang w:val="ro-RO"/>
              </w:rPr>
              <w:t>xamen</w:t>
            </w:r>
          </w:p>
        </w:tc>
      </w:tr>
    </w:tbl>
    <w:p w14:paraId="5652BD5E" w14:textId="77777777" w:rsidR="00BF445D" w:rsidRPr="00BF445D" w:rsidRDefault="00BF445D"/>
    <w:p w14:paraId="3F37A13B" w14:textId="77777777" w:rsidR="00BF445D" w:rsidRPr="00BF445D" w:rsidRDefault="00BF445D"/>
    <w:p w14:paraId="5431255B" w14:textId="77777777" w:rsidR="00BF445D" w:rsidRPr="00BF445D" w:rsidRDefault="00BF445D"/>
    <w:p w14:paraId="7C72F47D" w14:textId="77777777" w:rsidR="000B7EA4" w:rsidRPr="00BF445D" w:rsidRDefault="000B7EA4" w:rsidP="000B7EA4">
      <w:pPr>
        <w:rPr>
          <w:rFonts w:ascii="Times New Roman" w:hAnsi="Times New Roman" w:cs="Times New Roman"/>
          <w:sz w:val="24"/>
          <w:szCs w:val="24"/>
        </w:rPr>
      </w:pPr>
    </w:p>
    <w:p w14:paraId="611A56D8" w14:textId="77777777" w:rsidR="00086B9E" w:rsidRPr="00BF445D" w:rsidRDefault="00086B9E" w:rsidP="000B7EA4">
      <w:pPr>
        <w:rPr>
          <w:rFonts w:ascii="Times New Roman" w:hAnsi="Times New Roman" w:cs="Times New Roman"/>
          <w:sz w:val="24"/>
          <w:szCs w:val="24"/>
        </w:rPr>
      </w:pPr>
    </w:p>
    <w:p w14:paraId="4A828AFD" w14:textId="77777777" w:rsidR="00086B9E" w:rsidRPr="00BF445D" w:rsidRDefault="00086B9E" w:rsidP="000B7EA4">
      <w:pPr>
        <w:rPr>
          <w:rFonts w:ascii="Times New Roman" w:hAnsi="Times New Roman" w:cs="Times New Roman"/>
          <w:sz w:val="24"/>
          <w:szCs w:val="24"/>
        </w:rPr>
      </w:pPr>
    </w:p>
    <w:p w14:paraId="0D1AE2AE" w14:textId="77777777" w:rsidR="00086B9E" w:rsidRPr="00BF445D" w:rsidRDefault="00086B9E" w:rsidP="000B7EA4">
      <w:pPr>
        <w:rPr>
          <w:rFonts w:ascii="Times New Roman" w:hAnsi="Times New Roman" w:cs="Times New Roman"/>
          <w:sz w:val="24"/>
          <w:szCs w:val="24"/>
        </w:rPr>
      </w:pPr>
    </w:p>
    <w:sectPr w:rsidR="00086B9E" w:rsidRPr="00BF445D" w:rsidSect="00D45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039D"/>
    <w:multiLevelType w:val="hybridMultilevel"/>
    <w:tmpl w:val="ADE6BACC"/>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6C2B06"/>
    <w:multiLevelType w:val="hybridMultilevel"/>
    <w:tmpl w:val="8ABE3500"/>
    <w:lvl w:ilvl="0" w:tplc="C73254D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671F9"/>
    <w:multiLevelType w:val="hybridMultilevel"/>
    <w:tmpl w:val="147C57E6"/>
    <w:lvl w:ilvl="0" w:tplc="C73254D8">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9853A9"/>
    <w:multiLevelType w:val="hybridMultilevel"/>
    <w:tmpl w:val="B56207DC"/>
    <w:lvl w:ilvl="0" w:tplc="C73254D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9"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5"/>
  </w:num>
  <w:num w:numId="4">
    <w:abstractNumId w:val="7"/>
  </w:num>
  <w:num w:numId="5">
    <w:abstractNumId w:val="2"/>
  </w:num>
  <w:num w:numId="6">
    <w:abstractNumId w:val="8"/>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B0"/>
    <w:rsid w:val="000164E7"/>
    <w:rsid w:val="00045990"/>
    <w:rsid w:val="00086B9E"/>
    <w:rsid w:val="0009359B"/>
    <w:rsid w:val="0009613C"/>
    <w:rsid w:val="000B7EA4"/>
    <w:rsid w:val="000F16B3"/>
    <w:rsid w:val="000F6BD0"/>
    <w:rsid w:val="00192905"/>
    <w:rsid w:val="001B7667"/>
    <w:rsid w:val="001F3EDE"/>
    <w:rsid w:val="002925CA"/>
    <w:rsid w:val="002F3225"/>
    <w:rsid w:val="00320CF0"/>
    <w:rsid w:val="00347E2D"/>
    <w:rsid w:val="00361D2C"/>
    <w:rsid w:val="003C12AB"/>
    <w:rsid w:val="00421FFD"/>
    <w:rsid w:val="004710AD"/>
    <w:rsid w:val="004C6BC5"/>
    <w:rsid w:val="0057758D"/>
    <w:rsid w:val="006A0704"/>
    <w:rsid w:val="006B7BBE"/>
    <w:rsid w:val="007939FF"/>
    <w:rsid w:val="007C6698"/>
    <w:rsid w:val="007D18F2"/>
    <w:rsid w:val="00893506"/>
    <w:rsid w:val="008B4BA1"/>
    <w:rsid w:val="00945188"/>
    <w:rsid w:val="009D4EE5"/>
    <w:rsid w:val="00A3474E"/>
    <w:rsid w:val="00B56CC9"/>
    <w:rsid w:val="00BA323A"/>
    <w:rsid w:val="00BE6FF3"/>
    <w:rsid w:val="00BF445D"/>
    <w:rsid w:val="00CB44CC"/>
    <w:rsid w:val="00CF7E46"/>
    <w:rsid w:val="00D45FDA"/>
    <w:rsid w:val="00D67F6D"/>
    <w:rsid w:val="00DE53B0"/>
    <w:rsid w:val="00E70347"/>
    <w:rsid w:val="00EC5310"/>
    <w:rsid w:val="00EE45F0"/>
    <w:rsid w:val="00F6362E"/>
    <w:rsid w:val="00F72320"/>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BB1A"/>
  <w15:docId w15:val="{56175781-844A-4B66-A584-00BC9FF3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character" w:styleId="Strong">
    <w:name w:val="Strong"/>
    <w:basedOn w:val="DefaultParagraphFont"/>
    <w:uiPriority w:val="22"/>
    <w:qFormat/>
    <w:rsid w:val="00361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4171</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cp:lastPrinted>2021-04-05T12:21:00Z</cp:lastPrinted>
  <dcterms:created xsi:type="dcterms:W3CDTF">2022-09-09T10:18:00Z</dcterms:created>
  <dcterms:modified xsi:type="dcterms:W3CDTF">2022-09-12T11:47:00Z</dcterms:modified>
</cp:coreProperties>
</file>