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0B7EA4" w:rsidRPr="005E1F90" w14:paraId="7C7C5D02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0505CFF5" w14:textId="77777777" w:rsidR="000B7EA4" w:rsidRPr="005E1F90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274520"/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6861" w:type="dxa"/>
            <w:gridSpan w:val="4"/>
            <w:vAlign w:val="center"/>
          </w:tcPr>
          <w:p w14:paraId="4B079217" w14:textId="04E4D5E6" w:rsidR="000B7EA4" w:rsidRPr="0044543B" w:rsidRDefault="005E1F90" w:rsidP="005E1F9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454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Limba</w:t>
            </w:r>
            <w:proofErr w:type="spellEnd"/>
            <w:r w:rsidRPr="004454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454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engleză</w:t>
            </w:r>
            <w:proofErr w:type="spellEnd"/>
            <w:r w:rsidR="00400ADC" w:rsidRPr="004454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="00217F52" w:rsidRPr="004454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francez</w:t>
            </w:r>
            <w:r w:rsidR="00910422" w:rsidRPr="004454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ă</w:t>
            </w:r>
            <w:proofErr w:type="spellEnd"/>
            <w:r w:rsidR="00F62C06" w:rsidRPr="004454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F62C06" w:rsidRPr="004454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Facultatea</w:t>
            </w:r>
            <w:proofErr w:type="spellEnd"/>
            <w:r w:rsidR="00F62C06" w:rsidRPr="004454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62C06" w:rsidRPr="004454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Farmacie</w:t>
            </w:r>
            <w:proofErr w:type="spellEnd"/>
          </w:p>
        </w:tc>
      </w:tr>
      <w:tr w:rsidR="00826578" w:rsidRPr="005E1F90" w14:paraId="7366920E" w14:textId="77777777" w:rsidTr="003858CE">
        <w:tc>
          <w:tcPr>
            <w:tcW w:w="2484" w:type="dxa"/>
          </w:tcPr>
          <w:p w14:paraId="4A092211" w14:textId="77777777" w:rsidR="00826578" w:rsidRPr="005E1F90" w:rsidRDefault="00826578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gridSpan w:val="2"/>
          </w:tcPr>
          <w:p w14:paraId="5B6CC841" w14:textId="77777777" w:rsidR="00826578" w:rsidRPr="005E1F90" w:rsidRDefault="00910422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Obligatoriu</w:t>
            </w:r>
            <w:proofErr w:type="spellEnd"/>
          </w:p>
        </w:tc>
        <w:tc>
          <w:tcPr>
            <w:tcW w:w="3260" w:type="dxa"/>
            <w:vAlign w:val="center"/>
          </w:tcPr>
          <w:p w14:paraId="774B5CE5" w14:textId="77777777" w:rsidR="00826578" w:rsidRPr="005E1F90" w:rsidRDefault="00826578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="00625C23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2137C3FD" w14:textId="77777777" w:rsidR="00826578" w:rsidRPr="005E1F90" w:rsidRDefault="00625C23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C06" w:rsidRPr="005E1F90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A403F6" w:rsidRPr="005E1F90" w14:paraId="33C647C1" w14:textId="77777777" w:rsidTr="00826578">
        <w:tc>
          <w:tcPr>
            <w:tcW w:w="2484" w:type="dxa"/>
          </w:tcPr>
          <w:p w14:paraId="40FE186D" w14:textId="77777777" w:rsidR="00A403F6" w:rsidRPr="005E1F90" w:rsidRDefault="00A403F6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2331" w:type="dxa"/>
            <w:gridSpan w:val="2"/>
            <w:vAlign w:val="center"/>
          </w:tcPr>
          <w:p w14:paraId="6EFBD274" w14:textId="77777777" w:rsidR="00A403F6" w:rsidRPr="005E1F90" w:rsidRDefault="00910422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</w:tcPr>
          <w:p w14:paraId="4DC5A992" w14:textId="77777777" w:rsidR="00A403F6" w:rsidRPr="005E1F90" w:rsidRDefault="00625C23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Semestrele</w:t>
            </w:r>
            <w:proofErr w:type="spellEnd"/>
          </w:p>
        </w:tc>
        <w:tc>
          <w:tcPr>
            <w:tcW w:w="1270" w:type="dxa"/>
            <w:vAlign w:val="center"/>
          </w:tcPr>
          <w:p w14:paraId="33072294" w14:textId="77777777" w:rsidR="00A403F6" w:rsidRPr="005E1F90" w:rsidRDefault="00910422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</w:tr>
      <w:tr w:rsidR="00826578" w:rsidRPr="005E1F90" w14:paraId="44108B18" w14:textId="77777777" w:rsidTr="00826578">
        <w:tc>
          <w:tcPr>
            <w:tcW w:w="2484" w:type="dxa"/>
            <w:vMerge w:val="restart"/>
          </w:tcPr>
          <w:p w14:paraId="58BB9599" w14:textId="77777777" w:rsidR="00826578" w:rsidRPr="005E1F90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 ore</w:t>
            </w:r>
          </w:p>
        </w:tc>
        <w:tc>
          <w:tcPr>
            <w:tcW w:w="1480" w:type="dxa"/>
          </w:tcPr>
          <w:p w14:paraId="2F66EA4C" w14:textId="77777777" w:rsidR="00826578" w:rsidRPr="005E1F90" w:rsidRDefault="00826578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1A3725AD" w14:textId="77777777" w:rsidR="00826578" w:rsidRPr="005E1F90" w:rsidRDefault="00826578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AD1CF0" w14:textId="77777777" w:rsidR="00826578" w:rsidRPr="005E1F90" w:rsidRDefault="00826578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practice/de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1270" w:type="dxa"/>
            <w:vAlign w:val="center"/>
          </w:tcPr>
          <w:p w14:paraId="1C3BFAC8" w14:textId="77777777" w:rsidR="00826578" w:rsidRPr="005E1F90" w:rsidRDefault="00826578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78" w:rsidRPr="005E1F90" w14:paraId="049AD44A" w14:textId="77777777" w:rsidTr="00826578">
        <w:tc>
          <w:tcPr>
            <w:tcW w:w="2484" w:type="dxa"/>
            <w:vMerge/>
          </w:tcPr>
          <w:p w14:paraId="49B4F9A6" w14:textId="77777777" w:rsidR="00826578" w:rsidRPr="005E1F90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EDA3EA7" w14:textId="77777777" w:rsidR="00826578" w:rsidRPr="005E1F90" w:rsidRDefault="00826578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Seminare</w:t>
            </w:r>
            <w:proofErr w:type="spellEnd"/>
          </w:p>
        </w:tc>
        <w:tc>
          <w:tcPr>
            <w:tcW w:w="851" w:type="dxa"/>
            <w:vAlign w:val="center"/>
          </w:tcPr>
          <w:p w14:paraId="55A27557" w14:textId="77777777" w:rsidR="00826578" w:rsidRPr="005E1F90" w:rsidRDefault="0012251A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3260" w:type="dxa"/>
          </w:tcPr>
          <w:p w14:paraId="547C814A" w14:textId="77777777" w:rsidR="00826578" w:rsidRPr="005E1F90" w:rsidRDefault="00826578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Lucrul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</w:tc>
        <w:tc>
          <w:tcPr>
            <w:tcW w:w="1270" w:type="dxa"/>
            <w:vAlign w:val="center"/>
          </w:tcPr>
          <w:p w14:paraId="4778E94C" w14:textId="77777777" w:rsidR="00826578" w:rsidRPr="005E1F90" w:rsidRDefault="00910422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2251A" w:rsidRPr="005E1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0B7EA4" w:rsidRPr="005E1F90" w14:paraId="078F4987" w14:textId="77777777" w:rsidTr="00826578">
        <w:tc>
          <w:tcPr>
            <w:tcW w:w="2484" w:type="dxa"/>
          </w:tcPr>
          <w:p w14:paraId="42CEDFE4" w14:textId="77777777" w:rsidR="000B7EA4" w:rsidRPr="005E1F90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157012D6" w14:textId="77777777" w:rsidR="000B7EA4" w:rsidRPr="005E1F90" w:rsidRDefault="000B7EA4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Orienta</w:t>
            </w:r>
            <w:r w:rsidR="00910422"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rea</w:t>
            </w:r>
            <w:proofErr w:type="spellEnd"/>
            <w:r w:rsidR="00910422"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socio-</w:t>
            </w:r>
            <w:proofErr w:type="spellStart"/>
            <w:r w:rsidR="00910422"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umană</w:t>
            </w:r>
            <w:proofErr w:type="spellEnd"/>
            <w:r w:rsidR="00910422"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</w:tc>
      </w:tr>
      <w:tr w:rsidR="000B7EA4" w:rsidRPr="005E1F90" w14:paraId="625DB848" w14:textId="77777777" w:rsidTr="00826578">
        <w:tc>
          <w:tcPr>
            <w:tcW w:w="2484" w:type="dxa"/>
          </w:tcPr>
          <w:p w14:paraId="1F0472D9" w14:textId="77777777" w:rsidR="000B7EA4" w:rsidRPr="005E1F90" w:rsidRDefault="00910422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Titulari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EA4" w:rsidRPr="005E1F90">
              <w:rPr>
                <w:rFonts w:ascii="Times New Roman" w:hAnsi="Times New Roman" w:cs="Times New Roman"/>
                <w:sz w:val="24"/>
                <w:szCs w:val="24"/>
              </w:rPr>
              <w:t>de curs</w:t>
            </w:r>
          </w:p>
        </w:tc>
        <w:tc>
          <w:tcPr>
            <w:tcW w:w="6861" w:type="dxa"/>
            <w:gridSpan w:val="4"/>
            <w:vAlign w:val="center"/>
          </w:tcPr>
          <w:p w14:paraId="08B6A828" w14:textId="77777777" w:rsidR="000B7EA4" w:rsidRPr="005E1F90" w:rsidRDefault="005E1F90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Liliana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Panciuc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universitar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Tumuruc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Olga,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universitar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Doronin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universitar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Raisa </w:t>
            </w:r>
            <w:proofErr w:type="spellStart"/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>Scutelnic</w:t>
            </w:r>
            <w:proofErr w:type="spellEnd"/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>universitar</w:t>
            </w:r>
            <w:proofErr w:type="spellEnd"/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Veronica </w:t>
            </w:r>
            <w:proofErr w:type="spellStart"/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oloşciuc</w:t>
            </w:r>
            <w:proofErr w:type="spellEnd"/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>universitar</w:t>
            </w:r>
            <w:proofErr w:type="spellEnd"/>
            <w:r w:rsidR="00910422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EA4" w:rsidRPr="005E1F90" w14:paraId="1A488EF7" w14:textId="77777777" w:rsidTr="00826578">
        <w:tc>
          <w:tcPr>
            <w:tcW w:w="2484" w:type="dxa"/>
          </w:tcPr>
          <w:p w14:paraId="40739360" w14:textId="77777777" w:rsidR="000B7EA4" w:rsidRPr="005E1F90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Locația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1" w:type="dxa"/>
            <w:gridSpan w:val="4"/>
            <w:vAlign w:val="center"/>
          </w:tcPr>
          <w:p w14:paraId="2CE98EF6" w14:textId="77777777" w:rsidR="000B7EA4" w:rsidRPr="005E1F90" w:rsidRDefault="0012251A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Blocul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didactic nr.3</w:t>
            </w:r>
          </w:p>
          <w:p w14:paraId="171E38FA" w14:textId="77777777" w:rsidR="0012251A" w:rsidRPr="005E1F90" w:rsidRDefault="0012251A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Mare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Sfănt,194 A</w:t>
            </w:r>
          </w:p>
          <w:p w14:paraId="7D7C9ED7" w14:textId="77777777" w:rsidR="0012251A" w:rsidRPr="005E1F90" w:rsidRDefault="0012251A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MD </w:t>
            </w:r>
            <w:r w:rsidR="008E1428" w:rsidRPr="005E1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2004,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Republica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Moldova</w:t>
            </w:r>
          </w:p>
          <w:p w14:paraId="30E69E02" w14:textId="77777777" w:rsidR="0012251A" w:rsidRPr="005E1F90" w:rsidRDefault="0012251A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(+373) 22 205 204</w:t>
            </w:r>
          </w:p>
        </w:tc>
      </w:tr>
      <w:tr w:rsidR="00DD6C09" w:rsidRPr="005E1F90" w14:paraId="18764900" w14:textId="77777777" w:rsidTr="00F2081E">
        <w:tc>
          <w:tcPr>
            <w:tcW w:w="2484" w:type="dxa"/>
            <w:vMerge w:val="restart"/>
          </w:tcPr>
          <w:p w14:paraId="6CA16435" w14:textId="77777777" w:rsidR="00DD6C09" w:rsidRPr="005E1F90" w:rsidRDefault="00DD6C09" w:rsidP="00DD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Condiționări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exigențe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prealabile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de:</w:t>
            </w:r>
          </w:p>
        </w:tc>
        <w:tc>
          <w:tcPr>
            <w:tcW w:w="6861" w:type="dxa"/>
            <w:gridSpan w:val="4"/>
          </w:tcPr>
          <w:p w14:paraId="068E343A" w14:textId="77777777" w:rsidR="00DD6C09" w:rsidRPr="005E1F90" w:rsidRDefault="00DD6C09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Studierea</w:t>
            </w:r>
            <w:proofErr w:type="spellEnd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limbilor</w:t>
            </w:r>
            <w:proofErr w:type="spellEnd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străine</w:t>
            </w:r>
            <w:proofErr w:type="spellEnd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specialitate</w:t>
            </w:r>
            <w:proofErr w:type="spellEnd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prevăd</w:t>
            </w:r>
            <w:proofErr w:type="spellEnd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nivelul</w:t>
            </w:r>
            <w:proofErr w:type="spellEnd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minim A2-B1 de </w:t>
            </w:r>
            <w:proofErr w:type="spellStart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cunoaștrere</w:t>
            </w:r>
            <w:proofErr w:type="spellEnd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 </w:t>
            </w:r>
            <w:proofErr w:type="spellStart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limbilor</w:t>
            </w:r>
            <w:proofErr w:type="spellEnd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străine</w:t>
            </w:r>
            <w:proofErr w:type="spellEnd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conform CECRL. </w:t>
            </w:r>
          </w:p>
        </w:tc>
      </w:tr>
      <w:tr w:rsidR="00DD6C09" w:rsidRPr="005E1F90" w14:paraId="2857E78E" w14:textId="77777777" w:rsidTr="00F2081E">
        <w:tc>
          <w:tcPr>
            <w:tcW w:w="2484" w:type="dxa"/>
            <w:vMerge/>
          </w:tcPr>
          <w:p w14:paraId="0CDB33C2" w14:textId="77777777" w:rsidR="00DD6C09" w:rsidRPr="005E1F90" w:rsidRDefault="00DD6C09" w:rsidP="00DD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gridSpan w:val="4"/>
          </w:tcPr>
          <w:p w14:paraId="505D5A24" w14:textId="77777777" w:rsidR="00DD6C09" w:rsidRPr="005E1F90" w:rsidRDefault="00DD6C09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Nivelul</w:t>
            </w:r>
            <w:proofErr w:type="spellEnd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minim A2-B1 de </w:t>
            </w:r>
            <w:proofErr w:type="spellStart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cunoaștrere</w:t>
            </w:r>
            <w:proofErr w:type="spellEnd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 </w:t>
            </w:r>
            <w:proofErr w:type="spellStart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limbilor</w:t>
            </w:r>
            <w:proofErr w:type="spellEnd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>străine</w:t>
            </w:r>
            <w:proofErr w:type="spellEnd"/>
            <w:r w:rsidRPr="005E1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conform CECRL,</w:t>
            </w: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competențe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digitale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abilitatea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B7EA4" w:rsidRPr="005E1F90" w14:paraId="5C80C721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F5AE935" w14:textId="77777777" w:rsidR="000B7EA4" w:rsidRPr="005E1F90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Misiunea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6861" w:type="dxa"/>
            <w:gridSpan w:val="4"/>
          </w:tcPr>
          <w:p w14:paraId="6DB1800D" w14:textId="77777777" w:rsidR="00DD6C09" w:rsidRPr="005E1F90" w:rsidRDefault="00DD6C09" w:rsidP="005E1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Disciplina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Limbi </w:t>
            </w:r>
            <w:proofErr w:type="spellStart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moderne</w:t>
            </w:r>
            <w:proofErr w:type="spellEnd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limbaj</w:t>
            </w:r>
            <w:proofErr w:type="spellEnd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terminologic</w:t>
            </w:r>
            <w:proofErr w:type="spellEnd"/>
            <w:proofErr w:type="gramStart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proofErr w:type="gram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curs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destinat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studenților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aplicarea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practică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utilizarea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activă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instruirea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profesională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Cursul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 </w:t>
            </w:r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Limbi</w:t>
            </w:r>
            <w:proofErr w:type="gramEnd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moderne</w:t>
            </w:r>
            <w:proofErr w:type="spellEnd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limbaj</w:t>
            </w:r>
            <w:proofErr w:type="spellEnd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terminologic</w:t>
            </w:r>
            <w:proofErr w:type="spellEnd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orientat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spre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formarea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competențelor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lingvistice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stabilite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European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Referință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Limbi /CECRL/.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Cursul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 </w:t>
            </w:r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Limbi</w:t>
            </w:r>
            <w:proofErr w:type="gramEnd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moderne</w:t>
            </w:r>
            <w:proofErr w:type="spellEnd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limbaj</w:t>
            </w:r>
            <w:proofErr w:type="spellEnd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terminologic</w:t>
            </w:r>
            <w:proofErr w:type="spellEnd"/>
            <w:r w:rsidRPr="005E1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vizează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însușirea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limbajului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terminologic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medical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esențial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formând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studenți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competențe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lingvistice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solide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necesare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mobilității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academice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integrării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interculturale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profesionale</w:t>
            </w:r>
            <w:proofErr w:type="spellEnd"/>
            <w:r w:rsidRPr="005E1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0656281" w14:textId="0A9B9A1A" w:rsidR="000B7EA4" w:rsidRPr="00030961" w:rsidRDefault="00DD6C09" w:rsidP="005E1F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Orientarea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formativă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învățământului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universitar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formarea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studenților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sunt un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cadru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referință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specialiștilor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farmaciei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străină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facilitarea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comunicării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internațional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cooperarea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farmaciei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proofErr w:type="gram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deveni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competitivi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piața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A4" w:rsidRPr="005E1F90" w14:paraId="3B86EAE7" w14:textId="77777777" w:rsidTr="00826578">
        <w:tc>
          <w:tcPr>
            <w:tcW w:w="2484" w:type="dxa"/>
          </w:tcPr>
          <w:p w14:paraId="536415C7" w14:textId="77777777" w:rsidR="000B7EA4" w:rsidRPr="005E1F90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Tematica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prezentată</w:t>
            </w:r>
            <w:proofErr w:type="spellEnd"/>
          </w:p>
        </w:tc>
        <w:tc>
          <w:tcPr>
            <w:tcW w:w="6861" w:type="dxa"/>
            <w:gridSpan w:val="4"/>
          </w:tcPr>
          <w:p w14:paraId="41A45680" w14:textId="77777777" w:rsidR="005E1F90" w:rsidRPr="005E1F90" w:rsidRDefault="005E1F90" w:rsidP="005E1F90">
            <w:pPr>
              <w:widowControl w:val="0"/>
              <w:spacing w:before="60" w:after="60"/>
              <w:ind w:left="57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5E1F90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Introducere în farmacie. Istoria farmaciei. Profilul farmacistului.</w:t>
            </w: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F90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Celula. Organizarea corpului uman.</w:t>
            </w: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F90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Sistemul </w:t>
            </w:r>
            <w:proofErr w:type="spellStart"/>
            <w:r w:rsidRPr="005E1F90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musculo</w:t>
            </w:r>
            <w:proofErr w:type="spellEnd"/>
            <w:r w:rsidRPr="005E1F90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-scheletic.</w:t>
            </w:r>
            <w:r w:rsidRPr="005E1F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Sistemul nervos. Organele senzoriale ale corpului uman. Sistemul cardiovascular. Structura și funcția inimii. Sistemul respirator. Sistemul digestiv. Structura și funcția limbii. Sistemul endocrin. Funcțiile hormonilor.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Sistemul imun. </w:t>
            </w:r>
            <w:r w:rsidRPr="005E1F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Imunitatea.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Imunizarea.Vaccinul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7024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Vaccinarea.  Microorganismele. Alexander Fleming – descoperirea penicilinei. Lipidele.</w:t>
            </w:r>
            <w:r w:rsidR="007024DE" w:rsidRPr="007024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Carbohidrații. Proteinele.</w:t>
            </w:r>
            <w:r w:rsidR="007024DE" w:rsidRPr="0070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4DE" w:rsidRPr="007024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Steroizii. Vitaminele. Avitaminoza. Plantele. Structura plantei. Tipuri de plante.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Forme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medicamentoase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Tipuri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forme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medicamentoase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Administrarea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medicamentelor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.</w:t>
            </w:r>
            <w:r w:rsidR="007024DE" w:rsidRPr="0070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Căi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administrare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medicamentelor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Biodisponibilitatea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Surse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medicamentelor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Forme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medicamentoase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.</w:t>
            </w:r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Clasificarea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formelor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medicamentoase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.</w:t>
            </w:r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Forme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medicamentoase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solide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Pastile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Clasificarea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tipuri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pastile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Avantaje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dezavantaje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Forme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medicamentoase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lichide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Avantajele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și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dezavantajele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formelor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medicamentoase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lichide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Forme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medicamentoase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semisolide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Avantajele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și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dezavantajele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formelor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medicamentoase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semisolide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Calitatea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medicamentelor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Prospectul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medicamentelor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.</w:t>
            </w:r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Condiții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păstrare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medicamentelor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Farmacovigilența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Obiectivele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farmacovigilenței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Introducere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în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farmacologie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Farmacologie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dezvoltare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istorică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Domenii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farmaceutice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Nomenclatura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și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standardele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medicamentelor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Clasificarea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medicamentelor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Medicamentele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neurologice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Medicamentele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cardiovasculare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Tipologia</w:t>
            </w:r>
            <w:proofErr w:type="spellEnd"/>
            <w:r w:rsidR="007024DE" w:rsidRPr="007024DE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24DE" w:rsidRPr="007024DE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medicamentelor</w:t>
            </w:r>
            <w:proofErr w:type="spellEnd"/>
            <w:r w:rsidR="007024DE" w:rsidRPr="007024D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7024DE" w:rsidRPr="007024DE">
              <w:rPr>
                <w:rStyle w:val="Emphasis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cardiovasculare</w:t>
            </w:r>
            <w:proofErr w:type="spellEnd"/>
            <w:r w:rsidR="007024DE" w:rsidRPr="00702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Medicamentele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pentru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afecţiuni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gastrointestinale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Antihistaminele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Antibioticele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>Antiviralele</w:t>
            </w:r>
            <w:proofErr w:type="spellEnd"/>
            <w:r w:rsidR="007024DE" w:rsidRPr="00702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hAnsi="Times New Roman" w:cs="Times New Roman"/>
                <w:sz w:val="24"/>
                <w:szCs w:val="24"/>
              </w:rPr>
              <w:t>Toxicitatea</w:t>
            </w:r>
            <w:proofErr w:type="spellEnd"/>
            <w:r w:rsidR="007024DE" w:rsidRPr="0070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DE" w:rsidRPr="007024DE">
              <w:rPr>
                <w:rFonts w:ascii="Times New Roman" w:hAnsi="Times New Roman" w:cs="Times New Roman"/>
                <w:sz w:val="24"/>
                <w:szCs w:val="24"/>
              </w:rPr>
              <w:t>medicamentelor</w:t>
            </w:r>
            <w:proofErr w:type="spellEnd"/>
            <w:r w:rsidR="007024DE" w:rsidRPr="007024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24DE" w:rsidRPr="007024DE">
              <w:rPr>
                <w:rFonts w:ascii="Times New Roman" w:hAnsi="Times New Roman" w:cs="Times New Roman"/>
                <w:sz w:val="24"/>
                <w:szCs w:val="24"/>
              </w:rPr>
              <w:t>Toleranța</w:t>
            </w:r>
            <w:proofErr w:type="spellEnd"/>
            <w:r w:rsidR="007024DE" w:rsidRPr="007024D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7024DE" w:rsidRPr="007024DE">
              <w:rPr>
                <w:rFonts w:ascii="Times New Roman" w:hAnsi="Times New Roman" w:cs="Times New Roman"/>
                <w:sz w:val="24"/>
                <w:szCs w:val="24"/>
              </w:rPr>
              <w:t>medicamente</w:t>
            </w:r>
            <w:proofErr w:type="spellEnd"/>
            <w:r w:rsidR="007024DE" w:rsidRPr="00702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732DB" w14:textId="77777777" w:rsidR="005E1F90" w:rsidRPr="005E1F90" w:rsidRDefault="00DD6C09" w:rsidP="005E1F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Universitatea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Medicină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şi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Farmacie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Nicolae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Testimiţanu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,, N.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Testimiţanu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’’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personalitate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notorie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Facultatea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Farmacie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Istoricul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facultăţii.Profesia</w:t>
            </w:r>
            <w:proofErr w:type="spellEnd"/>
            <w:proofErr w:type="gram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și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misiunea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farmacistului.Farmacistul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expert al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medicamentului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Farmacişti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renumiţi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din Moldova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şi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Franţa.Profilul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farmacistului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Calităţi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dobăndite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Formele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şi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tipurile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medicamente.Modul</w:t>
            </w:r>
            <w:proofErr w:type="spellEnd"/>
            <w:proofErr w:type="gram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administrare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medicamentelor.Efectele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indezirabile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medicamentelor.Utilizarea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incorectă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medicamentelor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Dulapul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cu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medicamente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familiei.Pilula</w:t>
            </w:r>
            <w:proofErr w:type="spellEnd"/>
            <w:proofErr w:type="gram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miraculoasă.Specialitățile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</w:t>
            </w:r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macistului.Farmacistul</w:t>
            </w:r>
            <w:proofErr w:type="spellEnd"/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-  un </w:t>
            </w:r>
            <w:proofErr w:type="spellStart"/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pro</w:t>
            </w:r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fesional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proximitate.Rețeta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medicală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și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notițele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medicament</w:t>
            </w:r>
            <w:r w:rsid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ului.Codul</w:t>
            </w:r>
            <w:proofErr w:type="spellEnd"/>
            <w:r w:rsid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medicamentului.Codex</w:t>
            </w:r>
            <w:proofErr w:type="spellEnd"/>
            <w:r w:rsid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medicamentarius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Galicus.Automedicația.Cele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7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avertismente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ale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automedicației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 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Pilula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miraculoasă.Medicamentul</w:t>
            </w:r>
            <w:proofErr w:type="spellEnd"/>
            <w:proofErr w:type="gram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 ,,retard,,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în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organism.Antibioticele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Vitaminele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hidrosolubile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și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liposolubile.Avitaminoza</w:t>
            </w:r>
            <w:proofErr w:type="spellEnd"/>
            <w:proofErr w:type="gram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Excesul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vitamine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în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organism.Afecţiuni</w:t>
            </w:r>
            <w:proofErr w:type="spellEnd"/>
            <w:proofErr w:type="gram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prin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carenţe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vitaminice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Alfabetul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vitaminelor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Studiile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farmaceutice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din Moldova.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Ziua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muncă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unui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student de la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facultatea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farmacie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Studiile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farmaceutice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din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Franţa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Cl.Bertrand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biolog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celebru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francez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Farmacistul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o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misiune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securitate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sanitară.Ordinul</w:t>
            </w:r>
            <w:proofErr w:type="spellEnd"/>
            <w:proofErr w:type="gram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farmaciștilor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din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Franța.Emblemele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simbolurile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oficiale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ale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farmaciei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franceze.Din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istoria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laboratoarelor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farmaceutice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Thomas  Beecham,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fondatorul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acestor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laboratoare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Farmacologia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o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știință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pluridisciplinară.Jurămîntul</w:t>
            </w:r>
            <w:proofErr w:type="spellEnd"/>
            <w:proofErr w:type="gram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farmacistului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din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Franța.Deontologia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medicală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Cl.Galien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fondatorul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jurămîntului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al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farmacistului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francez.Oligo</w:t>
            </w:r>
            <w:proofErr w:type="gramEnd"/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-elemente</w:t>
            </w:r>
            <w:proofErr w:type="spellEnd"/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și</w:t>
            </w:r>
            <w:proofErr w:type="spellEnd"/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minerale</w:t>
            </w:r>
            <w:proofErr w:type="spellEnd"/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Carenţe</w:t>
            </w:r>
            <w:proofErr w:type="spellEnd"/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ș</w:t>
            </w:r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excesele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în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oligo </w:t>
            </w:r>
            <w:proofErr w:type="spellStart"/>
            <w:proofErr w:type="gram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elemente.Placebo</w:t>
            </w:r>
            <w:proofErr w:type="spellEnd"/>
            <w:proofErr w:type="gram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Definiţia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cuvăntului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şi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rolul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lui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în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medicină.Plantele</w:t>
            </w:r>
            <w:proofErr w:type="spellEnd"/>
            <w:proofErr w:type="gram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diabolice</w:t>
            </w:r>
            <w:proofErr w:type="spellEnd"/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Armurariul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( Chardon</w:t>
            </w:r>
            <w:proofErr w:type="gram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Marie )- planta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bolnavilor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hepatită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Descrierea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unei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plante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medicinale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conform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indicilor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dinamo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farmaceutici.Proprietăţile</w:t>
            </w:r>
            <w:proofErr w:type="spellEnd"/>
            <w:proofErr w:type="gram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terapeutice</w:t>
            </w:r>
            <w:proofErr w:type="spellEnd"/>
            <w:r w:rsidR="008E1428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ale </w:t>
            </w:r>
            <w:proofErr w:type="spellStart"/>
            <w:r w:rsidR="00625C23"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Ruă</w:t>
            </w:r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cuței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primăvară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( Adonis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vernalis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). Legenda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și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originea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plantei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Narcisul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în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medicină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. Legenda </w:t>
            </w:r>
            <w:proofErr w:type="spellStart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plantei</w:t>
            </w:r>
            <w:proofErr w:type="spellEnd"/>
            <w:r w:rsidRPr="005E1F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B7EA4" w:rsidRPr="005E1F90" w14:paraId="4D636279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1EE769C" w14:textId="77777777" w:rsidR="000B7EA4" w:rsidRPr="005E1F90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Finalități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</w:p>
        </w:tc>
        <w:tc>
          <w:tcPr>
            <w:tcW w:w="6861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35"/>
            </w:tblGrid>
            <w:tr w:rsidR="00DD6C09" w:rsidRPr="005E1F90" w14:paraId="377CA66C" w14:textId="77777777" w:rsidTr="00DD6C09">
              <w:tc>
                <w:tcPr>
                  <w:tcW w:w="6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91E94" w14:textId="77777777" w:rsidR="00DD6C09" w:rsidRPr="005E1F90" w:rsidRDefault="00DD6C09" w:rsidP="005E1F90">
                  <w:pPr>
                    <w:pStyle w:val="ListParagraph"/>
                    <w:numPr>
                      <w:ilvl w:val="0"/>
                      <w:numId w:val="7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definească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particularitățile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limbajului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terminologiei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medicale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farmaceutice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generale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limba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străină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14:paraId="342700CA" w14:textId="77777777" w:rsidR="00DD6C09" w:rsidRPr="005E1F90" w:rsidRDefault="00DD6C09" w:rsidP="005E1F90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identifice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simbolurile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specialitate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particularitațile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limbajului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medical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utilizat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domeniul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farmaciei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75603F2" w14:textId="77777777" w:rsidR="00DD6C09" w:rsidRPr="005E1F90" w:rsidRDefault="00DD6C09" w:rsidP="005E1F90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utilizeze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lexicul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autentic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specializat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comunicarea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curentă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cadrul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activității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profesionale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14:paraId="19E24E75" w14:textId="77777777" w:rsidR="00DD6C09" w:rsidRPr="005E1F90" w:rsidRDefault="00DD6C09" w:rsidP="005E1F90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aplice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mecanismele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formare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specificul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unui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mesaj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enunț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aspect </w:t>
                  </w:r>
                  <w:proofErr w:type="spellStart"/>
                  <w:proofErr w:type="gram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profesional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14:paraId="19E8956E" w14:textId="77777777" w:rsidR="00DD6C09" w:rsidRPr="005E1F90" w:rsidRDefault="00DD6C09" w:rsidP="005E1F90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definească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structurile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gramaticale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caracteristice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limbii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străine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aspect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profesional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0AB955E9" w14:textId="77777777" w:rsidR="00DD6C09" w:rsidRPr="005E1F90" w:rsidRDefault="00DD6C09" w:rsidP="005E1F90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identifice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limbajul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medical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utilizat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domeniul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farmaciei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proofErr w:type="gram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scopul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utilizării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ulterioare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competenţelor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lingvistice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comunicare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exprimare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orală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scrisă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);</w:t>
                  </w:r>
                </w:p>
                <w:p w14:paraId="032180EC" w14:textId="77777777" w:rsidR="00DD6C09" w:rsidRPr="005E1F90" w:rsidRDefault="00DD6C09" w:rsidP="005E1F90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formuleze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principii de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bază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noţiuni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domeniul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farmaciei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necesare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colaborarea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participarea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ulterioară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cadrul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conferințelor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proiectelor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internaționale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75B96D5" w14:textId="77777777" w:rsidR="00DD6C09" w:rsidRPr="005E1F90" w:rsidRDefault="00DD6C09" w:rsidP="005E1F90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interpreteze</w:t>
                  </w:r>
                  <w:proofErr w:type="spellEnd"/>
                  <w:proofErr w:type="gram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idei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proiecte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conținuturi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teoretice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practice ale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disciplinei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4FB62C97" w14:textId="77777777" w:rsidR="00DD6C09" w:rsidRPr="005E1F90" w:rsidRDefault="00DD6C09" w:rsidP="005E1F90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aplice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deprinderile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citire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orientativă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articole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cursivă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comprehensiunea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conținutului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unui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text de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specialitate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selectivă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sintetizarea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informației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comprehensiunea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integrală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proofErr w:type="gram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conținutului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textului</w:t>
                  </w:r>
                  <w:proofErr w:type="spellEnd"/>
                  <w:proofErr w:type="gram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);</w:t>
                  </w:r>
                </w:p>
                <w:p w14:paraId="1AD98B14" w14:textId="77777777" w:rsidR="00DD6C09" w:rsidRPr="005E1F90" w:rsidRDefault="00DD6C09" w:rsidP="005E1F90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reproducă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textul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proofErr w:type="gram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specialitate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proofErr w:type="gram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limba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străină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</w:p>
                <w:p w14:paraId="26B93929" w14:textId="77777777" w:rsidR="00DD6C09" w:rsidRPr="005E1F90" w:rsidRDefault="00DD6C09" w:rsidP="005E1F90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utilizeze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traducerea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unor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texte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articole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documente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prescripții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limba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străină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14:paraId="2AD2AAE5" w14:textId="77777777" w:rsidR="00DD6C09" w:rsidRPr="005E1F90" w:rsidRDefault="00DD6C09" w:rsidP="005E1F90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dezvolte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capacităţi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selectare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sintetizare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rezumare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EF2D43A" w14:textId="77777777" w:rsidR="00DD6C09" w:rsidRPr="005E1F90" w:rsidRDefault="00DD6C09" w:rsidP="005E1F90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dezvolte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abilități</w:t>
                  </w:r>
                  <w:proofErr w:type="spellEnd"/>
                  <w:proofErr w:type="gram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comunicare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iniția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discuții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dialoguri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dezbateri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tematice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situații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profesionale</w:t>
                  </w:r>
                  <w:proofErr w:type="spellEnd"/>
                  <w:r w:rsidRPr="005E1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</w:p>
                <w:p w14:paraId="74C4A862" w14:textId="77777777" w:rsidR="00DD6C09" w:rsidRPr="005E1F90" w:rsidRDefault="00DD6C09" w:rsidP="005E1F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6C09" w:rsidRPr="005E1F90" w14:paraId="3358DCDB" w14:textId="77777777" w:rsidTr="009915A1">
              <w:trPr>
                <w:trHeight w:val="53"/>
              </w:trPr>
              <w:tc>
                <w:tcPr>
                  <w:tcW w:w="6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94996" w14:textId="77777777" w:rsidR="00DD6C09" w:rsidRPr="005E1F90" w:rsidRDefault="00DD6C09" w:rsidP="005E1F90">
                  <w:pPr>
                    <w:pStyle w:val="ListParagraph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31D7D78" w14:textId="77777777" w:rsidR="000B7EA4" w:rsidRPr="005E1F90" w:rsidRDefault="000B7EA4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A4" w:rsidRPr="005E1F90" w14:paraId="5311FACD" w14:textId="77777777" w:rsidTr="00826578">
        <w:tc>
          <w:tcPr>
            <w:tcW w:w="2484" w:type="dxa"/>
          </w:tcPr>
          <w:p w14:paraId="78C59BCA" w14:textId="77777777" w:rsidR="000B7EA4" w:rsidRPr="005E1F90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Manopere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practice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achiziționate</w:t>
            </w:r>
            <w:proofErr w:type="spellEnd"/>
          </w:p>
        </w:tc>
        <w:tc>
          <w:tcPr>
            <w:tcW w:w="6861" w:type="dxa"/>
            <w:gridSpan w:val="4"/>
          </w:tcPr>
          <w:p w14:paraId="4FF67A6F" w14:textId="77777777" w:rsidR="00DD6C09" w:rsidRPr="005E1F90" w:rsidRDefault="00DD6C09" w:rsidP="005E1F90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facă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informației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autentice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proofErr w:type="gram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s-o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prezente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formă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C3DD73" w14:textId="77777777" w:rsidR="00DD6C09" w:rsidRPr="005E1F90" w:rsidRDefault="00DD6C09" w:rsidP="005E1F90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utilizeze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cunoștințele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abilitățile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proofErr w:type="gram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folosind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tematicile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domeniului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farmaciei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promovării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dialog intercultural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interdisciplinar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13588D" w14:textId="77777777" w:rsidR="00DD6C09" w:rsidRPr="005E1F90" w:rsidRDefault="00DD6C09" w:rsidP="005E1F90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implementeze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cunoștințele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dobândite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proofErr w:type="gram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redactare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străină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38CF8B" w14:textId="77777777" w:rsidR="00DD6C09" w:rsidRPr="005E1F90" w:rsidRDefault="00DD6C09" w:rsidP="005E1F90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dezvolte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competențe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comprhensiune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materialelor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autentice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audio-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vizuale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orelor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limbă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străină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97EFBCA" w14:textId="77777777" w:rsidR="00DD6C09" w:rsidRPr="005E1F90" w:rsidRDefault="00DD6C09" w:rsidP="005E1F90">
            <w:pPr>
              <w:pStyle w:val="ListParagraph"/>
              <w:numPr>
                <w:ilvl w:val="0"/>
                <w:numId w:val="1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dezvolte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capacități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selectare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sintetizare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reproducere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rezumare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text de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8E2443" w14:textId="77777777" w:rsidR="000B7EA4" w:rsidRPr="005E1F90" w:rsidRDefault="008E1428" w:rsidP="005E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proofErr w:type="spellStart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>creeze</w:t>
            </w:r>
            <w:proofErr w:type="spellEnd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>implimenteze</w:t>
            </w:r>
            <w:proofErr w:type="spellEnd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>cunoștințele</w:t>
            </w:r>
            <w:proofErr w:type="spellEnd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>dobăndite</w:t>
            </w:r>
            <w:proofErr w:type="spellEnd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>sarcinilor</w:t>
            </w:r>
            <w:proofErr w:type="spellEnd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 w:rsidR="00DD6C09"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 de curs.</w:t>
            </w:r>
          </w:p>
        </w:tc>
      </w:tr>
      <w:tr w:rsidR="000B7EA4" w:rsidRPr="005E1F90" w14:paraId="28C3FB99" w14:textId="77777777" w:rsidTr="00217F52">
        <w:trPr>
          <w:trHeight w:val="284"/>
        </w:trPr>
        <w:tc>
          <w:tcPr>
            <w:tcW w:w="2484" w:type="dxa"/>
            <w:shd w:val="clear" w:color="auto" w:fill="DEEAF6" w:themeFill="accent1" w:themeFillTint="33"/>
          </w:tcPr>
          <w:p w14:paraId="73CF69DB" w14:textId="77777777" w:rsidR="000B7EA4" w:rsidRPr="005E1F90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 w:cs="Times New Roman"/>
                <w:sz w:val="24"/>
                <w:szCs w:val="24"/>
              </w:rPr>
              <w:t xml:space="preserve">Forma de </w:t>
            </w:r>
            <w:proofErr w:type="spellStart"/>
            <w:r w:rsidRPr="005E1F90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6861" w:type="dxa"/>
            <w:gridSpan w:val="4"/>
          </w:tcPr>
          <w:p w14:paraId="771CD929" w14:textId="77777777" w:rsidR="000B7EA4" w:rsidRPr="005E1F90" w:rsidRDefault="00DD6C09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90"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</w:tr>
      <w:bookmarkEnd w:id="0"/>
    </w:tbl>
    <w:p w14:paraId="0197E03F" w14:textId="77777777" w:rsidR="000B7EA4" w:rsidRPr="005E1F90" w:rsidRDefault="000B7EA4">
      <w:pPr>
        <w:rPr>
          <w:rFonts w:ascii="Times New Roman" w:hAnsi="Times New Roman" w:cs="Times New Roman"/>
          <w:sz w:val="24"/>
          <w:szCs w:val="24"/>
        </w:rPr>
      </w:pPr>
    </w:p>
    <w:p w14:paraId="3A828530" w14:textId="77777777" w:rsidR="00FF70A1" w:rsidRPr="005E1F90" w:rsidRDefault="00FF70A1">
      <w:pPr>
        <w:rPr>
          <w:rFonts w:ascii="Times New Roman" w:hAnsi="Times New Roman" w:cs="Times New Roman"/>
          <w:sz w:val="24"/>
          <w:szCs w:val="24"/>
        </w:rPr>
      </w:pPr>
    </w:p>
    <w:sectPr w:rsidR="00FF70A1" w:rsidRPr="005E1F90" w:rsidSect="00AC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9D"/>
    <w:multiLevelType w:val="hybridMultilevel"/>
    <w:tmpl w:val="ADE6BACC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2B06"/>
    <w:multiLevelType w:val="hybridMultilevel"/>
    <w:tmpl w:val="8ABE350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1F9"/>
    <w:multiLevelType w:val="hybridMultilevel"/>
    <w:tmpl w:val="147C57E6"/>
    <w:lvl w:ilvl="0" w:tplc="C73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853A9"/>
    <w:multiLevelType w:val="hybridMultilevel"/>
    <w:tmpl w:val="B56207DC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B0"/>
    <w:rsid w:val="00030961"/>
    <w:rsid w:val="00045990"/>
    <w:rsid w:val="00086B9E"/>
    <w:rsid w:val="0009359B"/>
    <w:rsid w:val="000B7EA4"/>
    <w:rsid w:val="0012251A"/>
    <w:rsid w:val="001433F3"/>
    <w:rsid w:val="001B7667"/>
    <w:rsid w:val="00217F52"/>
    <w:rsid w:val="00347E2D"/>
    <w:rsid w:val="003858CE"/>
    <w:rsid w:val="003B3056"/>
    <w:rsid w:val="00400ADC"/>
    <w:rsid w:val="0044543B"/>
    <w:rsid w:val="004710AD"/>
    <w:rsid w:val="005E1F90"/>
    <w:rsid w:val="00625C23"/>
    <w:rsid w:val="006B4E29"/>
    <w:rsid w:val="006B7BBE"/>
    <w:rsid w:val="007024DE"/>
    <w:rsid w:val="007939FF"/>
    <w:rsid w:val="007A0C69"/>
    <w:rsid w:val="007C6698"/>
    <w:rsid w:val="007D18F2"/>
    <w:rsid w:val="00826578"/>
    <w:rsid w:val="00893506"/>
    <w:rsid w:val="008E1428"/>
    <w:rsid w:val="00910422"/>
    <w:rsid w:val="009915A1"/>
    <w:rsid w:val="00A403F6"/>
    <w:rsid w:val="00AC6F53"/>
    <w:rsid w:val="00BE6FF3"/>
    <w:rsid w:val="00CB44CC"/>
    <w:rsid w:val="00D67F6D"/>
    <w:rsid w:val="00DD6C09"/>
    <w:rsid w:val="00DE53B0"/>
    <w:rsid w:val="00E83516"/>
    <w:rsid w:val="00EE45F0"/>
    <w:rsid w:val="00F62C06"/>
    <w:rsid w:val="00FB7CA9"/>
    <w:rsid w:val="00FF1FD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BB27"/>
  <w15:docId w15:val="{0A1FCFDE-9D97-4BED-8EA3-90A95399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D6C09"/>
    <w:rPr>
      <w:b/>
      <w:bCs/>
    </w:rPr>
  </w:style>
  <w:style w:type="character" w:styleId="Emphasis">
    <w:name w:val="Emphasis"/>
    <w:basedOn w:val="DefaultParagraphFont"/>
    <w:uiPriority w:val="20"/>
    <w:qFormat/>
    <w:rsid w:val="00702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2021-04-05T12:21:00Z</cp:lastPrinted>
  <dcterms:created xsi:type="dcterms:W3CDTF">2021-09-06T06:52:00Z</dcterms:created>
  <dcterms:modified xsi:type="dcterms:W3CDTF">2022-09-12T09:34:00Z</dcterms:modified>
</cp:coreProperties>
</file>