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67"/>
        <w:gridCol w:w="1473"/>
        <w:gridCol w:w="849"/>
        <w:gridCol w:w="3238"/>
        <w:gridCol w:w="1261"/>
      </w:tblGrid>
      <w:tr w:rsidR="00D6067B" w:rsidRPr="00BF445D" w14:paraId="4ACC8EFF" w14:textId="77777777" w:rsidTr="00F95B03">
        <w:tc>
          <w:tcPr>
            <w:tcW w:w="2484" w:type="dxa"/>
            <w:shd w:val="clear" w:color="auto" w:fill="DBE5F1" w:themeFill="accent1" w:themeFillTint="33"/>
          </w:tcPr>
          <w:p w14:paraId="4436173A"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18"/>
              </w:rPr>
              <w:t>Name of discipline</w:t>
            </w:r>
          </w:p>
        </w:tc>
        <w:tc>
          <w:tcPr>
            <w:tcW w:w="6861" w:type="dxa"/>
            <w:gridSpan w:val="4"/>
          </w:tcPr>
          <w:p w14:paraId="6A25E4EF" w14:textId="473E20B0" w:rsidR="00D6067B" w:rsidRPr="000B222C" w:rsidRDefault="00E441CD" w:rsidP="00C20AAD">
            <w:pPr>
              <w:spacing w:after="0"/>
              <w:rPr>
                <w:rFonts w:ascii="Times New Roman" w:hAnsi="Times New Roman" w:cs="Times New Roman"/>
                <w:i/>
                <w:iCs/>
                <w:sz w:val="24"/>
                <w:szCs w:val="24"/>
              </w:rPr>
            </w:pPr>
            <w:r w:rsidRPr="000B222C">
              <w:rPr>
                <w:rFonts w:ascii="Times New Roman" w:hAnsi="Times New Roman" w:cs="Times New Roman"/>
                <w:i/>
                <w:iCs/>
                <w:sz w:val="24"/>
                <w:szCs w:val="18"/>
              </w:rPr>
              <w:t>English/French</w:t>
            </w:r>
            <w:r w:rsidR="00CE3FC0" w:rsidRPr="000B222C">
              <w:rPr>
                <w:rFonts w:ascii="Times New Roman" w:hAnsi="Times New Roman" w:cs="Times New Roman"/>
                <w:i/>
                <w:iCs/>
                <w:sz w:val="24"/>
                <w:szCs w:val="18"/>
              </w:rPr>
              <w:t>. Medicine</w:t>
            </w:r>
          </w:p>
        </w:tc>
      </w:tr>
      <w:tr w:rsidR="00D6067B" w:rsidRPr="00BF445D" w14:paraId="325309FE" w14:textId="77777777" w:rsidTr="00F95B03">
        <w:tc>
          <w:tcPr>
            <w:tcW w:w="2484" w:type="dxa"/>
          </w:tcPr>
          <w:p w14:paraId="2496B53D"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18"/>
              </w:rPr>
              <w:t>Type</w:t>
            </w:r>
          </w:p>
        </w:tc>
        <w:tc>
          <w:tcPr>
            <w:tcW w:w="2331" w:type="dxa"/>
            <w:gridSpan w:val="2"/>
          </w:tcPr>
          <w:p w14:paraId="44B3AE84"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18"/>
              </w:rPr>
              <w:t>Compulsory</w:t>
            </w:r>
          </w:p>
        </w:tc>
        <w:tc>
          <w:tcPr>
            <w:tcW w:w="3260" w:type="dxa"/>
          </w:tcPr>
          <w:p w14:paraId="3C3AD120"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Credits</w:t>
            </w:r>
          </w:p>
        </w:tc>
        <w:tc>
          <w:tcPr>
            <w:tcW w:w="1270" w:type="dxa"/>
            <w:vAlign w:val="center"/>
          </w:tcPr>
          <w:p w14:paraId="377583EE" w14:textId="77777777" w:rsidR="00D6067B" w:rsidRPr="00680AA2" w:rsidRDefault="00430AE2" w:rsidP="00C20AAD">
            <w:pPr>
              <w:spacing w:after="0"/>
              <w:jc w:val="center"/>
              <w:rPr>
                <w:rFonts w:ascii="Times New Roman" w:hAnsi="Times New Roman" w:cs="Times New Roman"/>
                <w:sz w:val="24"/>
                <w:szCs w:val="24"/>
              </w:rPr>
            </w:pPr>
            <w:r w:rsidRPr="00680AA2">
              <w:rPr>
                <w:rFonts w:ascii="Times New Roman" w:hAnsi="Times New Roman" w:cs="Times New Roman"/>
                <w:sz w:val="24"/>
                <w:szCs w:val="24"/>
              </w:rPr>
              <w:t>4+</w:t>
            </w:r>
            <w:r w:rsidR="00E441CD" w:rsidRPr="00680AA2">
              <w:rPr>
                <w:rFonts w:ascii="Times New Roman" w:hAnsi="Times New Roman" w:cs="Times New Roman"/>
                <w:sz w:val="24"/>
                <w:szCs w:val="24"/>
              </w:rPr>
              <w:t>4</w:t>
            </w:r>
          </w:p>
        </w:tc>
      </w:tr>
      <w:tr w:rsidR="00D6067B" w:rsidRPr="00BF445D" w14:paraId="436867E7" w14:textId="77777777" w:rsidTr="00F95B03">
        <w:tc>
          <w:tcPr>
            <w:tcW w:w="2484" w:type="dxa"/>
          </w:tcPr>
          <w:p w14:paraId="36B32885"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18"/>
              </w:rPr>
              <w:t>Academic year</w:t>
            </w:r>
          </w:p>
        </w:tc>
        <w:tc>
          <w:tcPr>
            <w:tcW w:w="2331" w:type="dxa"/>
            <w:gridSpan w:val="2"/>
          </w:tcPr>
          <w:p w14:paraId="12264897" w14:textId="77777777" w:rsidR="00D6067B" w:rsidRPr="00680AA2" w:rsidRDefault="00D6067B" w:rsidP="00C20AAD">
            <w:pPr>
              <w:spacing w:after="0"/>
              <w:jc w:val="center"/>
              <w:rPr>
                <w:rFonts w:ascii="Times New Roman" w:hAnsi="Times New Roman" w:cs="Times New Roman"/>
                <w:sz w:val="24"/>
                <w:szCs w:val="24"/>
              </w:rPr>
            </w:pPr>
            <w:r w:rsidRPr="00680AA2">
              <w:rPr>
                <w:rFonts w:ascii="Times New Roman" w:hAnsi="Times New Roman" w:cs="Times New Roman"/>
                <w:sz w:val="24"/>
                <w:szCs w:val="18"/>
              </w:rPr>
              <w:t>I</w:t>
            </w:r>
          </w:p>
        </w:tc>
        <w:tc>
          <w:tcPr>
            <w:tcW w:w="3260" w:type="dxa"/>
          </w:tcPr>
          <w:p w14:paraId="61BB8D43"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Semester</w:t>
            </w:r>
          </w:p>
        </w:tc>
        <w:tc>
          <w:tcPr>
            <w:tcW w:w="1270" w:type="dxa"/>
            <w:vAlign w:val="center"/>
          </w:tcPr>
          <w:p w14:paraId="73273D52" w14:textId="77777777" w:rsidR="00D6067B" w:rsidRPr="00680AA2" w:rsidRDefault="00E441CD" w:rsidP="00C20AAD">
            <w:pPr>
              <w:spacing w:after="0"/>
              <w:jc w:val="center"/>
              <w:rPr>
                <w:rFonts w:ascii="Times New Roman" w:hAnsi="Times New Roman" w:cs="Times New Roman"/>
                <w:sz w:val="24"/>
                <w:szCs w:val="24"/>
              </w:rPr>
            </w:pPr>
            <w:r w:rsidRPr="00680AA2">
              <w:rPr>
                <w:rFonts w:ascii="Times New Roman" w:hAnsi="Times New Roman" w:cs="Times New Roman"/>
                <w:sz w:val="24"/>
                <w:szCs w:val="24"/>
              </w:rPr>
              <w:t>I-</w:t>
            </w:r>
            <w:r w:rsidR="00D6067B" w:rsidRPr="00680AA2">
              <w:rPr>
                <w:rFonts w:ascii="Times New Roman" w:hAnsi="Times New Roman" w:cs="Times New Roman"/>
                <w:sz w:val="24"/>
                <w:szCs w:val="24"/>
              </w:rPr>
              <w:t>II</w:t>
            </w:r>
          </w:p>
        </w:tc>
      </w:tr>
      <w:tr w:rsidR="00D6067B" w:rsidRPr="00BF445D" w14:paraId="64D1CF18" w14:textId="77777777" w:rsidTr="00F95B03">
        <w:tc>
          <w:tcPr>
            <w:tcW w:w="2484" w:type="dxa"/>
            <w:vMerge w:val="restart"/>
          </w:tcPr>
          <w:p w14:paraId="1766DF2A"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Number of hours</w:t>
            </w:r>
          </w:p>
        </w:tc>
        <w:tc>
          <w:tcPr>
            <w:tcW w:w="1480" w:type="dxa"/>
          </w:tcPr>
          <w:p w14:paraId="608C045B"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Course</w:t>
            </w:r>
          </w:p>
        </w:tc>
        <w:tc>
          <w:tcPr>
            <w:tcW w:w="851" w:type="dxa"/>
            <w:vAlign w:val="center"/>
          </w:tcPr>
          <w:p w14:paraId="768FF670" w14:textId="77777777" w:rsidR="00D6067B" w:rsidRPr="00680AA2" w:rsidRDefault="00D6067B" w:rsidP="00C20AAD">
            <w:pPr>
              <w:spacing w:after="0"/>
              <w:jc w:val="center"/>
              <w:rPr>
                <w:rFonts w:ascii="Times New Roman" w:hAnsi="Times New Roman" w:cs="Times New Roman"/>
                <w:sz w:val="24"/>
                <w:szCs w:val="24"/>
              </w:rPr>
            </w:pPr>
          </w:p>
        </w:tc>
        <w:tc>
          <w:tcPr>
            <w:tcW w:w="3260" w:type="dxa"/>
          </w:tcPr>
          <w:p w14:paraId="0BEE2FA9"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Practice/laboratory work</w:t>
            </w:r>
          </w:p>
        </w:tc>
        <w:tc>
          <w:tcPr>
            <w:tcW w:w="1270" w:type="dxa"/>
            <w:vAlign w:val="center"/>
          </w:tcPr>
          <w:p w14:paraId="4BA71B5E" w14:textId="77777777" w:rsidR="00D6067B" w:rsidRPr="00680AA2" w:rsidRDefault="00E441CD" w:rsidP="00C20AAD">
            <w:pPr>
              <w:spacing w:after="0"/>
              <w:jc w:val="center"/>
              <w:rPr>
                <w:rFonts w:ascii="Times New Roman" w:hAnsi="Times New Roman" w:cs="Times New Roman"/>
                <w:sz w:val="24"/>
                <w:szCs w:val="24"/>
              </w:rPr>
            </w:pPr>
            <w:r w:rsidRPr="00680AA2">
              <w:rPr>
                <w:rFonts w:ascii="Times New Roman" w:hAnsi="Times New Roman" w:cs="Times New Roman"/>
                <w:sz w:val="24"/>
                <w:szCs w:val="24"/>
              </w:rPr>
              <w:t>-</w:t>
            </w:r>
          </w:p>
        </w:tc>
      </w:tr>
      <w:tr w:rsidR="00D6067B" w:rsidRPr="00BF445D" w14:paraId="235AA03D" w14:textId="77777777" w:rsidTr="00F95B03">
        <w:tc>
          <w:tcPr>
            <w:tcW w:w="2484" w:type="dxa"/>
            <w:vMerge/>
          </w:tcPr>
          <w:p w14:paraId="6002C5C6" w14:textId="77777777" w:rsidR="00D6067B" w:rsidRPr="00680AA2" w:rsidRDefault="00D6067B" w:rsidP="00C20AAD">
            <w:pPr>
              <w:spacing w:after="0"/>
              <w:rPr>
                <w:rFonts w:ascii="Times New Roman" w:hAnsi="Times New Roman" w:cs="Times New Roman"/>
                <w:sz w:val="24"/>
                <w:szCs w:val="24"/>
              </w:rPr>
            </w:pPr>
          </w:p>
        </w:tc>
        <w:tc>
          <w:tcPr>
            <w:tcW w:w="1480" w:type="dxa"/>
          </w:tcPr>
          <w:p w14:paraId="656A3902"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Seminar</w:t>
            </w:r>
            <w:r w:rsidR="00E441CD" w:rsidRPr="00680AA2">
              <w:rPr>
                <w:rFonts w:ascii="Times New Roman" w:hAnsi="Times New Roman" w:cs="Times New Roman"/>
                <w:sz w:val="24"/>
                <w:szCs w:val="24"/>
              </w:rPr>
              <w:t>s</w:t>
            </w:r>
          </w:p>
        </w:tc>
        <w:tc>
          <w:tcPr>
            <w:tcW w:w="851" w:type="dxa"/>
            <w:vAlign w:val="center"/>
          </w:tcPr>
          <w:p w14:paraId="3719FA23" w14:textId="77777777" w:rsidR="00D6067B" w:rsidRPr="00680AA2" w:rsidRDefault="00E441CD" w:rsidP="00C20AAD">
            <w:pPr>
              <w:spacing w:after="0"/>
              <w:jc w:val="center"/>
              <w:rPr>
                <w:rFonts w:ascii="Times New Roman" w:hAnsi="Times New Roman" w:cs="Times New Roman"/>
                <w:sz w:val="24"/>
                <w:szCs w:val="24"/>
              </w:rPr>
            </w:pPr>
            <w:r w:rsidRPr="00680AA2">
              <w:rPr>
                <w:rFonts w:ascii="Times New Roman" w:hAnsi="Times New Roman" w:cs="Times New Roman"/>
                <w:sz w:val="24"/>
                <w:szCs w:val="24"/>
              </w:rPr>
              <w:t>60/60</w:t>
            </w:r>
          </w:p>
        </w:tc>
        <w:tc>
          <w:tcPr>
            <w:tcW w:w="3260" w:type="dxa"/>
          </w:tcPr>
          <w:p w14:paraId="7A9DE694"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24"/>
              </w:rPr>
              <w:t>Self-training</w:t>
            </w:r>
          </w:p>
        </w:tc>
        <w:tc>
          <w:tcPr>
            <w:tcW w:w="1270" w:type="dxa"/>
            <w:vAlign w:val="center"/>
          </w:tcPr>
          <w:p w14:paraId="16A3C21D" w14:textId="77777777" w:rsidR="00D6067B" w:rsidRPr="00680AA2" w:rsidRDefault="00E441CD" w:rsidP="00C20AAD">
            <w:pPr>
              <w:spacing w:after="0"/>
              <w:jc w:val="center"/>
              <w:rPr>
                <w:rFonts w:ascii="Times New Roman" w:hAnsi="Times New Roman" w:cs="Times New Roman"/>
                <w:sz w:val="24"/>
                <w:szCs w:val="24"/>
              </w:rPr>
            </w:pPr>
            <w:r w:rsidRPr="00680AA2">
              <w:rPr>
                <w:rFonts w:ascii="Times New Roman" w:hAnsi="Times New Roman" w:cs="Times New Roman"/>
                <w:sz w:val="24"/>
                <w:szCs w:val="24"/>
              </w:rPr>
              <w:t>60/60</w:t>
            </w:r>
          </w:p>
        </w:tc>
      </w:tr>
      <w:tr w:rsidR="00D6067B" w:rsidRPr="00BF445D" w14:paraId="5A72D8A0" w14:textId="77777777" w:rsidTr="00F95B03">
        <w:tc>
          <w:tcPr>
            <w:tcW w:w="2484" w:type="dxa"/>
          </w:tcPr>
          <w:p w14:paraId="66C2057F"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sz w:val="24"/>
                <w:szCs w:val="18"/>
              </w:rPr>
              <w:t>Component</w:t>
            </w:r>
          </w:p>
        </w:tc>
        <w:tc>
          <w:tcPr>
            <w:tcW w:w="6861" w:type="dxa"/>
            <w:gridSpan w:val="4"/>
          </w:tcPr>
          <w:p w14:paraId="3C59C1F6" w14:textId="77777777" w:rsidR="00D6067B" w:rsidRPr="00680AA2" w:rsidRDefault="00D6067B" w:rsidP="00C20AAD">
            <w:pPr>
              <w:spacing w:after="0"/>
              <w:rPr>
                <w:rFonts w:ascii="Times New Roman" w:hAnsi="Times New Roman" w:cs="Times New Roman"/>
                <w:sz w:val="24"/>
                <w:szCs w:val="24"/>
              </w:rPr>
            </w:pPr>
            <w:r w:rsidRPr="00680AA2">
              <w:rPr>
                <w:rFonts w:ascii="Times New Roman" w:hAnsi="Times New Roman" w:cs="Times New Roman"/>
                <w:iCs/>
                <w:sz w:val="24"/>
                <w:szCs w:val="18"/>
              </w:rPr>
              <w:t xml:space="preserve"> Socio-human orientation</w:t>
            </w:r>
          </w:p>
        </w:tc>
      </w:tr>
      <w:tr w:rsidR="00D6067B" w:rsidRPr="00BF445D" w14:paraId="767A4499" w14:textId="77777777" w:rsidTr="00F95B03">
        <w:tc>
          <w:tcPr>
            <w:tcW w:w="2484" w:type="dxa"/>
          </w:tcPr>
          <w:p w14:paraId="02ED5F4D"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18"/>
              </w:rPr>
              <w:t>Course holder</w:t>
            </w:r>
          </w:p>
        </w:tc>
        <w:tc>
          <w:tcPr>
            <w:tcW w:w="6861" w:type="dxa"/>
            <w:gridSpan w:val="4"/>
          </w:tcPr>
          <w:p w14:paraId="676DB309" w14:textId="77777777" w:rsidR="00D6067B" w:rsidRPr="00680AA2" w:rsidRDefault="00430AE2"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Olga Tumuruc, Ala David</w:t>
            </w:r>
          </w:p>
        </w:tc>
      </w:tr>
      <w:tr w:rsidR="00D6067B" w:rsidRPr="00BF445D" w14:paraId="36219E67" w14:textId="77777777" w:rsidTr="00F95B03">
        <w:tc>
          <w:tcPr>
            <w:tcW w:w="2484" w:type="dxa"/>
          </w:tcPr>
          <w:p w14:paraId="4BA69ABE"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18"/>
              </w:rPr>
              <w:t xml:space="preserve">Location </w:t>
            </w:r>
          </w:p>
        </w:tc>
        <w:tc>
          <w:tcPr>
            <w:tcW w:w="6861" w:type="dxa"/>
            <w:gridSpan w:val="4"/>
          </w:tcPr>
          <w:p w14:paraId="518B39EC" w14:textId="77777777" w:rsidR="00430AE2" w:rsidRPr="00680AA2" w:rsidRDefault="00430AE2"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Teaching block no. 3,</w:t>
            </w:r>
          </w:p>
          <w:p w14:paraId="6539F6D6" w14:textId="77777777" w:rsidR="00430AE2" w:rsidRPr="00680AA2" w:rsidRDefault="00680AA2"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194 A Ştefan cel Mare şi Sfânt Street</w:t>
            </w:r>
            <w:r w:rsidR="00430AE2" w:rsidRPr="00680AA2">
              <w:rPr>
                <w:rFonts w:ascii="Times New Roman" w:hAnsi="Times New Roman" w:cs="Times New Roman"/>
                <w:sz w:val="24"/>
                <w:szCs w:val="24"/>
              </w:rPr>
              <w:t xml:space="preserve">, </w:t>
            </w:r>
          </w:p>
          <w:p w14:paraId="7BBF635A" w14:textId="77777777" w:rsidR="00430AE2" w:rsidRPr="00680AA2" w:rsidRDefault="00430AE2"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Chisinau, MD-2004, Republic of Moldova</w:t>
            </w:r>
          </w:p>
          <w:p w14:paraId="78537E4F" w14:textId="77777777" w:rsidR="00D6067B" w:rsidRPr="00680AA2" w:rsidRDefault="00430AE2"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(+373) 22 205 204</w:t>
            </w:r>
          </w:p>
        </w:tc>
      </w:tr>
      <w:tr w:rsidR="00D6067B" w:rsidRPr="00BF445D" w14:paraId="7E0B720E" w14:textId="77777777" w:rsidTr="00F95B03">
        <w:tc>
          <w:tcPr>
            <w:tcW w:w="2484" w:type="dxa"/>
            <w:vMerge w:val="restart"/>
          </w:tcPr>
          <w:p w14:paraId="42C69914"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18"/>
              </w:rPr>
              <w:t>Conditionings and prerequisites of:</w:t>
            </w:r>
          </w:p>
        </w:tc>
        <w:tc>
          <w:tcPr>
            <w:tcW w:w="6861" w:type="dxa"/>
            <w:gridSpan w:val="4"/>
          </w:tcPr>
          <w:p w14:paraId="57EB6EED" w14:textId="77777777" w:rsidR="00D6067B" w:rsidRPr="00680AA2" w:rsidRDefault="00680AA2" w:rsidP="00AC6E8F">
            <w:pPr>
              <w:spacing w:after="0" w:line="240" w:lineRule="auto"/>
              <w:jc w:val="both"/>
              <w:rPr>
                <w:rFonts w:ascii="Times New Roman" w:hAnsi="Times New Roman" w:cs="Times New Roman"/>
                <w:sz w:val="24"/>
                <w:szCs w:val="24"/>
              </w:rPr>
            </w:pPr>
            <w:r w:rsidRPr="00680AA2">
              <w:rPr>
                <w:rFonts w:ascii="Times New Roman" w:hAnsi="Times New Roman" w:cs="Times New Roman"/>
                <w:iCs/>
                <w:sz w:val="24"/>
                <w:szCs w:val="24"/>
              </w:rPr>
              <w:t xml:space="preserve">Specialized languages study </w:t>
            </w:r>
            <w:r w:rsidR="00AC6E8F">
              <w:rPr>
                <w:rFonts w:ascii="Times New Roman" w:hAnsi="Times New Roman" w:cs="Times New Roman"/>
                <w:iCs/>
                <w:sz w:val="24"/>
                <w:szCs w:val="24"/>
              </w:rPr>
              <w:t xml:space="preserve">requires </w:t>
            </w:r>
            <w:r w:rsidR="00430AE2" w:rsidRPr="00680AA2">
              <w:rPr>
                <w:rFonts w:ascii="Times New Roman" w:hAnsi="Times New Roman" w:cs="Times New Roman"/>
                <w:iCs/>
                <w:sz w:val="24"/>
                <w:szCs w:val="24"/>
              </w:rPr>
              <w:t xml:space="preserve">the minimum knowledge of foreign languages </w:t>
            </w:r>
            <w:r w:rsidR="00AC6E8F" w:rsidRPr="00680AA2">
              <w:rPr>
                <w:rFonts w:ascii="Times New Roman" w:hAnsi="Times New Roman" w:cs="Times New Roman"/>
                <w:iCs/>
                <w:sz w:val="24"/>
                <w:szCs w:val="24"/>
              </w:rPr>
              <w:t xml:space="preserve">A2-B1 </w:t>
            </w:r>
            <w:r w:rsidR="00430AE2" w:rsidRPr="00680AA2">
              <w:rPr>
                <w:rFonts w:ascii="Times New Roman" w:hAnsi="Times New Roman" w:cs="Times New Roman"/>
                <w:iCs/>
                <w:sz w:val="24"/>
                <w:szCs w:val="24"/>
              </w:rPr>
              <w:t xml:space="preserve">according to </w:t>
            </w:r>
            <w:r w:rsidRPr="00680AA2">
              <w:rPr>
                <w:rFonts w:ascii="Times New Roman" w:hAnsi="Times New Roman" w:cs="Times New Roman"/>
                <w:iCs/>
                <w:sz w:val="24"/>
                <w:szCs w:val="24"/>
              </w:rPr>
              <w:t>CEFRL</w:t>
            </w:r>
            <w:r w:rsidR="00430AE2" w:rsidRPr="00680AA2">
              <w:rPr>
                <w:rFonts w:ascii="Times New Roman" w:hAnsi="Times New Roman" w:cs="Times New Roman"/>
                <w:iCs/>
                <w:sz w:val="24"/>
                <w:szCs w:val="24"/>
              </w:rPr>
              <w:t>.</w:t>
            </w:r>
          </w:p>
        </w:tc>
      </w:tr>
      <w:tr w:rsidR="00D6067B" w:rsidRPr="00BF445D" w14:paraId="429F50CD" w14:textId="77777777" w:rsidTr="00F95B03">
        <w:tc>
          <w:tcPr>
            <w:tcW w:w="2484" w:type="dxa"/>
            <w:vMerge/>
          </w:tcPr>
          <w:p w14:paraId="18237BE0" w14:textId="77777777" w:rsidR="00D6067B" w:rsidRPr="00680AA2" w:rsidRDefault="00D6067B" w:rsidP="00684201">
            <w:pPr>
              <w:spacing w:after="0"/>
              <w:rPr>
                <w:rFonts w:ascii="Times New Roman" w:hAnsi="Times New Roman" w:cs="Times New Roman"/>
                <w:sz w:val="24"/>
                <w:szCs w:val="24"/>
              </w:rPr>
            </w:pPr>
          </w:p>
        </w:tc>
        <w:tc>
          <w:tcPr>
            <w:tcW w:w="6861" w:type="dxa"/>
            <w:gridSpan w:val="4"/>
          </w:tcPr>
          <w:p w14:paraId="2453EC5C" w14:textId="77777777" w:rsidR="00D6067B" w:rsidRPr="00680AA2" w:rsidRDefault="00430AE2" w:rsidP="00AC6E8F">
            <w:pPr>
              <w:spacing w:after="0" w:line="240" w:lineRule="auto"/>
              <w:jc w:val="both"/>
              <w:rPr>
                <w:rFonts w:ascii="Times New Roman" w:hAnsi="Times New Roman" w:cs="Times New Roman"/>
                <w:sz w:val="24"/>
                <w:szCs w:val="24"/>
              </w:rPr>
            </w:pPr>
            <w:r w:rsidRPr="00680AA2">
              <w:rPr>
                <w:rFonts w:ascii="Times New Roman" w:hAnsi="Times New Roman" w:cs="Times New Roman"/>
                <w:iCs/>
                <w:sz w:val="24"/>
                <w:szCs w:val="24"/>
              </w:rPr>
              <w:t>Minimum knowledge of</w:t>
            </w:r>
            <w:r w:rsidR="00680AA2" w:rsidRPr="00680AA2">
              <w:rPr>
                <w:rFonts w:ascii="Times New Roman" w:hAnsi="Times New Roman" w:cs="Times New Roman"/>
                <w:iCs/>
                <w:sz w:val="24"/>
                <w:szCs w:val="24"/>
              </w:rPr>
              <w:t xml:space="preserve"> </w:t>
            </w:r>
            <w:r w:rsidR="00AC6E8F">
              <w:rPr>
                <w:rFonts w:ascii="Times New Roman" w:hAnsi="Times New Roman" w:cs="Times New Roman"/>
                <w:iCs/>
                <w:sz w:val="24"/>
                <w:szCs w:val="24"/>
              </w:rPr>
              <w:t xml:space="preserve">foreign </w:t>
            </w:r>
            <w:r w:rsidR="00680AA2" w:rsidRPr="00680AA2">
              <w:rPr>
                <w:rFonts w:ascii="Times New Roman" w:hAnsi="Times New Roman" w:cs="Times New Roman"/>
                <w:iCs/>
                <w:sz w:val="24"/>
                <w:szCs w:val="24"/>
              </w:rPr>
              <w:t>languages A2-B1 according to CEFRL; digital competences</w:t>
            </w:r>
            <w:r w:rsidRPr="00680AA2">
              <w:rPr>
                <w:rFonts w:ascii="Times New Roman" w:hAnsi="Times New Roman" w:cs="Times New Roman"/>
                <w:iCs/>
                <w:sz w:val="24"/>
                <w:szCs w:val="24"/>
              </w:rPr>
              <w:t>; ability to communicate and work in a team;</w:t>
            </w:r>
          </w:p>
        </w:tc>
      </w:tr>
      <w:tr w:rsidR="00D6067B" w:rsidRPr="00BF445D" w14:paraId="7662AB2E" w14:textId="77777777" w:rsidTr="00F95B03">
        <w:tc>
          <w:tcPr>
            <w:tcW w:w="2484" w:type="dxa"/>
            <w:shd w:val="clear" w:color="auto" w:fill="DBE5F1" w:themeFill="accent1" w:themeFillTint="33"/>
          </w:tcPr>
          <w:p w14:paraId="74EB97F8"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18"/>
              </w:rPr>
              <w:t>Mission of the discipline</w:t>
            </w:r>
          </w:p>
        </w:tc>
        <w:tc>
          <w:tcPr>
            <w:tcW w:w="6861" w:type="dxa"/>
            <w:gridSpan w:val="4"/>
          </w:tcPr>
          <w:p w14:paraId="0D31FA96" w14:textId="77777777" w:rsidR="003F37B6" w:rsidRPr="00680AA2" w:rsidRDefault="00684201" w:rsidP="00684201">
            <w:pPr>
              <w:spacing w:after="0" w:line="240" w:lineRule="auto"/>
              <w:jc w:val="both"/>
              <w:rPr>
                <w:rFonts w:ascii="Times New Roman" w:eastAsia="Times New Roman" w:hAnsi="Times New Roman" w:cs="Times New Roman"/>
                <w:color w:val="000000"/>
                <w:sz w:val="24"/>
                <w:szCs w:val="24"/>
                <w:lang w:eastAsia="ro-RO"/>
              </w:rPr>
            </w:pPr>
            <w:r w:rsidRPr="00181286">
              <w:rPr>
                <w:rFonts w:ascii="Times New Roman" w:eastAsia="Times New Roman" w:hAnsi="Times New Roman" w:cs="Times New Roman"/>
                <w:i/>
                <w:color w:val="000000"/>
                <w:sz w:val="24"/>
                <w:szCs w:val="24"/>
                <w:lang w:eastAsia="ro-RO"/>
              </w:rPr>
              <w:t>English/French (for indigenous</w:t>
            </w:r>
            <w:r w:rsidR="003F37B6" w:rsidRPr="00181286">
              <w:rPr>
                <w:rFonts w:ascii="Times New Roman" w:eastAsia="Times New Roman" w:hAnsi="Times New Roman" w:cs="Times New Roman"/>
                <w:i/>
                <w:color w:val="000000"/>
                <w:sz w:val="24"/>
                <w:szCs w:val="24"/>
                <w:lang w:eastAsia="ro-RO"/>
              </w:rPr>
              <w:t xml:space="preserve"> students</w:t>
            </w:r>
            <w:r w:rsidR="00AC6E8F">
              <w:rPr>
                <w:rFonts w:ascii="Times New Roman" w:eastAsia="Times New Roman" w:hAnsi="Times New Roman" w:cs="Times New Roman"/>
                <w:color w:val="000000"/>
                <w:sz w:val="24"/>
                <w:szCs w:val="24"/>
                <w:lang w:eastAsia="ro-RO"/>
              </w:rPr>
              <w:t xml:space="preserve">), is a practical course </w:t>
            </w:r>
            <w:r w:rsidR="003F37B6" w:rsidRPr="00680AA2">
              <w:rPr>
                <w:rFonts w:ascii="Times New Roman" w:eastAsia="Times New Roman" w:hAnsi="Times New Roman" w:cs="Times New Roman"/>
                <w:color w:val="000000"/>
                <w:sz w:val="24"/>
                <w:szCs w:val="24"/>
                <w:lang w:eastAsia="ro-RO"/>
              </w:rPr>
              <w:t>for students for the application and active use in the training and professional activity of specialized foreign languages. The course is aimed at training the linguistic competences of written and oral communication in the foreign language established by the Common European Framework of Reference for Languages ​​/</w:t>
            </w:r>
            <w:r w:rsidR="00680AA2" w:rsidRPr="00680AA2">
              <w:rPr>
                <w:rFonts w:ascii="Times New Roman" w:hAnsi="Times New Roman" w:cs="Times New Roman"/>
                <w:iCs/>
                <w:sz w:val="24"/>
                <w:szCs w:val="24"/>
              </w:rPr>
              <w:t>CEFRL</w:t>
            </w:r>
            <w:r w:rsidR="003F37B6" w:rsidRPr="00680AA2">
              <w:rPr>
                <w:rFonts w:ascii="Times New Roman" w:eastAsia="Times New Roman" w:hAnsi="Times New Roman" w:cs="Times New Roman"/>
                <w:color w:val="000000"/>
                <w:sz w:val="24"/>
                <w:szCs w:val="24"/>
                <w:lang w:eastAsia="ro-RO"/>
              </w:rPr>
              <w:t xml:space="preserve">/. The course of </w:t>
            </w:r>
            <w:r w:rsidR="003F37B6" w:rsidRPr="00181286">
              <w:rPr>
                <w:rFonts w:ascii="Times New Roman" w:eastAsia="Times New Roman" w:hAnsi="Times New Roman" w:cs="Times New Roman"/>
                <w:i/>
                <w:color w:val="000000"/>
                <w:sz w:val="24"/>
                <w:szCs w:val="24"/>
                <w:lang w:eastAsia="ro-RO"/>
              </w:rPr>
              <w:t>Modern Languages ​​(terminological language</w:t>
            </w:r>
            <w:r w:rsidR="003F37B6" w:rsidRPr="00680AA2">
              <w:rPr>
                <w:rFonts w:ascii="Times New Roman" w:eastAsia="Times New Roman" w:hAnsi="Times New Roman" w:cs="Times New Roman"/>
                <w:color w:val="000000"/>
                <w:sz w:val="24"/>
                <w:szCs w:val="24"/>
                <w:lang w:eastAsia="ro-RO"/>
              </w:rPr>
              <w:t>) aims at acquiring the essential medical terminological language, training students in solid linguistic skills, necessary for academic mobility, intercultural and professional integration. The formative orientation of university education and the professional training of students are a frame of reference for the vocational training system of health specialists for communication in a foreign language, for facilitating communication in the international space, for cooperation in the field of public health and to become competitive on labo</w:t>
            </w:r>
            <w:r w:rsidR="00680AA2" w:rsidRPr="00680AA2">
              <w:rPr>
                <w:rFonts w:ascii="Times New Roman" w:eastAsia="Times New Roman" w:hAnsi="Times New Roman" w:cs="Times New Roman"/>
                <w:color w:val="000000"/>
                <w:sz w:val="24"/>
                <w:szCs w:val="24"/>
                <w:lang w:eastAsia="ro-RO"/>
              </w:rPr>
              <w:t>u</w:t>
            </w:r>
            <w:r w:rsidR="003F37B6" w:rsidRPr="00680AA2">
              <w:rPr>
                <w:rFonts w:ascii="Times New Roman" w:eastAsia="Times New Roman" w:hAnsi="Times New Roman" w:cs="Times New Roman"/>
                <w:color w:val="000000"/>
                <w:sz w:val="24"/>
                <w:szCs w:val="24"/>
                <w:lang w:eastAsia="ro-RO"/>
              </w:rPr>
              <w:t xml:space="preserve">r market. </w:t>
            </w:r>
          </w:p>
          <w:p w14:paraId="5166F8C6" w14:textId="77777777" w:rsidR="00D6067B" w:rsidRPr="00680AA2" w:rsidRDefault="00D6067B" w:rsidP="00684201">
            <w:pPr>
              <w:spacing w:after="0" w:line="240" w:lineRule="auto"/>
              <w:jc w:val="both"/>
              <w:rPr>
                <w:rFonts w:ascii="Times New Roman" w:hAnsi="Times New Roman" w:cs="Times New Roman"/>
                <w:i/>
                <w:iCs/>
                <w:sz w:val="24"/>
                <w:szCs w:val="24"/>
              </w:rPr>
            </w:pPr>
          </w:p>
        </w:tc>
      </w:tr>
      <w:tr w:rsidR="00D6067B" w:rsidRPr="00BF445D" w14:paraId="329315B6" w14:textId="77777777" w:rsidTr="00F95B03">
        <w:tc>
          <w:tcPr>
            <w:tcW w:w="2484" w:type="dxa"/>
          </w:tcPr>
          <w:p w14:paraId="424DE917"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24"/>
              </w:rPr>
              <w:t>Overview of the topics</w:t>
            </w:r>
          </w:p>
        </w:tc>
        <w:tc>
          <w:tcPr>
            <w:tcW w:w="6861" w:type="dxa"/>
            <w:gridSpan w:val="4"/>
          </w:tcPr>
          <w:p w14:paraId="41F3E80E"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w:t>
            </w:r>
            <w:r w:rsidRPr="00181286">
              <w:rPr>
                <w:rFonts w:ascii="Times New Roman" w:hAnsi="Times New Roman" w:cs="Times New Roman"/>
                <w:b/>
                <w:sz w:val="24"/>
                <w:szCs w:val="24"/>
              </w:rPr>
              <w:t>Eng. Sem.I-II)</w:t>
            </w:r>
          </w:p>
          <w:p w14:paraId="451A2C9D"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Medical education. Human anatomy and physiology. Immune system. Nicolae Testemitanu - the famous Moldovan doctor. Illustrious doctors. The importance of remarkable personalities in the history of medicine.</w:t>
            </w:r>
            <w:r w:rsidR="00684201">
              <w:rPr>
                <w:rFonts w:ascii="Times New Roman" w:hAnsi="Times New Roman" w:cs="Times New Roman"/>
                <w:sz w:val="24"/>
                <w:szCs w:val="24"/>
              </w:rPr>
              <w:t xml:space="preserve"> </w:t>
            </w:r>
            <w:r w:rsidRPr="00680AA2">
              <w:rPr>
                <w:rFonts w:ascii="Times New Roman" w:hAnsi="Times New Roman" w:cs="Times New Roman"/>
                <w:sz w:val="24"/>
                <w:szCs w:val="24"/>
              </w:rPr>
              <w:t xml:space="preserve">History of medicine. Hippocrates' oath. Cell. Cell types. Structure. Definition of tissues, organs, systems. Human body. Structure and function. The skeleton. Structure and function. The Muscular System. Structure and characteristics. Striated, smooth and cardiac muscle. Voluntary and involuntary movements. Nervous system. The structure and functions of the nervous system. Central and peripheral nervous system. Vascular system. Structure and functions of the cardiovascular system. Vessel types and characteristics. Structure of the heart and major vessels. Respiratory system. The structure and functions of the respiratory system. Notions and terms. Digestive system. Digestive tract. Accessory glands and their functions. The meaning of taste. Taste bulbs. Iris functions. Pupil dilation and constriction factors. The </w:t>
            </w:r>
            <w:r w:rsidRPr="00680AA2">
              <w:rPr>
                <w:rFonts w:ascii="Times New Roman" w:hAnsi="Times New Roman" w:cs="Times New Roman"/>
                <w:sz w:val="24"/>
                <w:szCs w:val="24"/>
              </w:rPr>
              <w:lastRenderedPageBreak/>
              <w:t>reflex of approach and distance. Medical documentation. Medical reports, clinical descriptions. Immunity. Types of immunity. Immunization. Microorganisms. Bacteria, fungi and viruses. Features and notions. Alexander Fleming. The discovery of penicillin. Historical landmarks. Family doctor's working day. Stationary work. Outpatient work. At the pharmacy. Dialogues, conversations. Vitamins. Fat-soluble and water-soluble vitamins. Avitaminosis. Tobacco and its alkaloids. Historical landmarks.</w:t>
            </w:r>
          </w:p>
          <w:p w14:paraId="182E6079"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Consequences and disadvantages of using tobacco. Doctors and surgeons. Physical examination. Examination of the patient. Observation, percussion, palpation and listening. The structure of the human body. Procedures and analyzes.</w:t>
            </w:r>
            <w:r w:rsidR="00684201">
              <w:rPr>
                <w:rFonts w:ascii="Times New Roman" w:hAnsi="Times New Roman" w:cs="Times New Roman"/>
                <w:sz w:val="24"/>
                <w:szCs w:val="24"/>
              </w:rPr>
              <w:t xml:space="preserve"> </w:t>
            </w:r>
            <w:r w:rsidRPr="00680AA2">
              <w:rPr>
                <w:rFonts w:ascii="Times New Roman" w:hAnsi="Times New Roman" w:cs="Times New Roman"/>
                <w:sz w:val="24"/>
                <w:szCs w:val="24"/>
              </w:rPr>
              <w:t>Public Health in Moldova. WHO and cooperation in medicine. Lipids. Carbohydrates. Amino acids and proteins. Steroids. Medical treatment. Surgical treatment. Types of therapies. Alternative medicine. Anamnesis. The technique of interviewing the patient. Signs and symptoms of the disease. Basic medical investigations: Endoscopy, Radiography, RMI, ECG. Rheumatism. Infantile eczema. Rickets. Measles. Respiratory diseases: Bronchitis and Asthma. Diabetes mellitus. Myocardial infarction. Arthritis. Ectopic pregnancy. AIDS. Drug tolerance. Types of dependencies. First aid. Patient care at home. Medical ethics. Data presentation. Presentation of reports at the conference. Presentation of the case study.</w:t>
            </w:r>
          </w:p>
          <w:p w14:paraId="4637C8D7" w14:textId="77777777" w:rsidR="00181286" w:rsidRPr="00181286" w:rsidRDefault="003F37B6" w:rsidP="00684201">
            <w:pPr>
              <w:spacing w:after="0" w:line="240" w:lineRule="auto"/>
              <w:jc w:val="both"/>
              <w:rPr>
                <w:rFonts w:ascii="Times New Roman" w:hAnsi="Times New Roman" w:cs="Times New Roman"/>
                <w:b/>
                <w:sz w:val="24"/>
                <w:szCs w:val="24"/>
              </w:rPr>
            </w:pPr>
            <w:r w:rsidRPr="00181286">
              <w:rPr>
                <w:rFonts w:ascii="Times New Roman" w:hAnsi="Times New Roman" w:cs="Times New Roman"/>
                <w:b/>
                <w:sz w:val="24"/>
                <w:szCs w:val="24"/>
              </w:rPr>
              <w:t xml:space="preserve">(Fr. Sem. I-II) </w:t>
            </w:r>
          </w:p>
          <w:p w14:paraId="6520B380" w14:textId="77777777" w:rsidR="00D6067B" w:rsidRPr="00680AA2" w:rsidRDefault="003F37B6" w:rsidP="002A2B17">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Medical </w:t>
            </w:r>
            <w:r w:rsidR="002A2B17">
              <w:rPr>
                <w:rFonts w:ascii="Times New Roman" w:hAnsi="Times New Roman" w:cs="Times New Roman"/>
                <w:sz w:val="24"/>
                <w:szCs w:val="24"/>
              </w:rPr>
              <w:t>studies</w:t>
            </w:r>
            <w:r w:rsidRPr="00680AA2">
              <w:rPr>
                <w:rFonts w:ascii="Times New Roman" w:hAnsi="Times New Roman" w:cs="Times New Roman"/>
                <w:sz w:val="24"/>
                <w:szCs w:val="24"/>
              </w:rPr>
              <w:t xml:space="preserve"> in the Republic of Moldova. </w:t>
            </w:r>
            <w:r w:rsidR="002A2B17">
              <w:rPr>
                <w:rFonts w:ascii="Times New Roman" w:hAnsi="Times New Roman" w:cs="Times New Roman"/>
                <w:sz w:val="24"/>
                <w:szCs w:val="24"/>
              </w:rPr>
              <w:t>Nicolae Testemitanu</w:t>
            </w:r>
            <w:r w:rsidR="002A2B17" w:rsidRPr="00680AA2">
              <w:rPr>
                <w:rFonts w:ascii="Times New Roman" w:hAnsi="Times New Roman" w:cs="Times New Roman"/>
                <w:sz w:val="24"/>
                <w:szCs w:val="24"/>
              </w:rPr>
              <w:t xml:space="preserve"> </w:t>
            </w:r>
            <w:r w:rsidRPr="00680AA2">
              <w:rPr>
                <w:rFonts w:ascii="Times New Roman" w:hAnsi="Times New Roman" w:cs="Times New Roman"/>
                <w:sz w:val="24"/>
                <w:szCs w:val="24"/>
              </w:rPr>
              <w:t>State University of Medicine and Pharmacy. Me</w:t>
            </w:r>
            <w:r w:rsidR="002A2B17">
              <w:rPr>
                <w:rFonts w:ascii="Times New Roman" w:hAnsi="Times New Roman" w:cs="Times New Roman"/>
                <w:sz w:val="24"/>
                <w:szCs w:val="24"/>
              </w:rPr>
              <w:t>dical education in France. W</w:t>
            </w:r>
            <w:r w:rsidRPr="00680AA2">
              <w:rPr>
                <w:rFonts w:ascii="Times New Roman" w:hAnsi="Times New Roman" w:cs="Times New Roman"/>
                <w:sz w:val="24"/>
                <w:szCs w:val="24"/>
              </w:rPr>
              <w:t xml:space="preserve">orking day of a </w:t>
            </w:r>
            <w:r w:rsidR="002A2B17">
              <w:rPr>
                <w:rFonts w:ascii="Times New Roman" w:hAnsi="Times New Roman" w:cs="Times New Roman"/>
                <w:sz w:val="24"/>
                <w:szCs w:val="24"/>
              </w:rPr>
              <w:t>medical student. Role of a doctor nowadays. Human body. Skeleton. M</w:t>
            </w:r>
            <w:r w:rsidRPr="00680AA2">
              <w:rPr>
                <w:rFonts w:ascii="Times New Roman" w:hAnsi="Times New Roman" w:cs="Times New Roman"/>
                <w:sz w:val="24"/>
                <w:szCs w:val="24"/>
              </w:rPr>
              <w:t xml:space="preserve">uscular system. Structure and characteristics. Respiratory system. </w:t>
            </w:r>
            <w:r w:rsidR="002A2B17">
              <w:rPr>
                <w:rFonts w:ascii="Times New Roman" w:hAnsi="Times New Roman" w:cs="Times New Roman"/>
                <w:sz w:val="24"/>
                <w:szCs w:val="24"/>
              </w:rPr>
              <w:t>S</w:t>
            </w:r>
            <w:r w:rsidRPr="00680AA2">
              <w:rPr>
                <w:rFonts w:ascii="Times New Roman" w:hAnsi="Times New Roman" w:cs="Times New Roman"/>
                <w:sz w:val="24"/>
                <w:szCs w:val="24"/>
              </w:rPr>
              <w:t xml:space="preserve">tructure and functions of the respiratory system. Digestive system. </w:t>
            </w:r>
            <w:r w:rsidR="002A2B17">
              <w:rPr>
                <w:iCs/>
                <w:color w:val="000000"/>
                <w:spacing w:val="-4"/>
              </w:rPr>
              <w:t xml:space="preserve">Characteristics and structure of the digestive system. </w:t>
            </w:r>
            <w:r w:rsidR="002A2B17">
              <w:t xml:space="preserve">Nervous system. Structure and functions of the nervous system. </w:t>
            </w:r>
            <w:r w:rsidRPr="00680AA2">
              <w:rPr>
                <w:rFonts w:ascii="Times New Roman" w:hAnsi="Times New Roman" w:cs="Times New Roman"/>
                <w:sz w:val="24"/>
                <w:szCs w:val="24"/>
              </w:rPr>
              <w:t>Cardiovascular system. Structure and functions of the cardiovascu</w:t>
            </w:r>
            <w:r w:rsidR="002A2B17">
              <w:rPr>
                <w:rFonts w:ascii="Times New Roman" w:hAnsi="Times New Roman" w:cs="Times New Roman"/>
                <w:sz w:val="24"/>
                <w:szCs w:val="24"/>
              </w:rPr>
              <w:t>lar system. Heart. Small circulation. Large circulation</w:t>
            </w:r>
            <w:r w:rsidRPr="00680AA2">
              <w:rPr>
                <w:rFonts w:ascii="Times New Roman" w:hAnsi="Times New Roman" w:cs="Times New Roman"/>
                <w:sz w:val="24"/>
                <w:szCs w:val="24"/>
              </w:rPr>
              <w:t>. The five senses. Medicines (types of medicines and forms of administration). Antibiotics. Vaccines and vaccination. Vitamins.</w:t>
            </w:r>
            <w:r w:rsidR="002A2B17">
              <w:rPr>
                <w:rFonts w:ascii="Times New Roman" w:hAnsi="Times New Roman" w:cs="Times New Roman"/>
                <w:sz w:val="24"/>
                <w:szCs w:val="24"/>
              </w:rPr>
              <w:t xml:space="preserve"> </w:t>
            </w:r>
            <w:r w:rsidRPr="00680AA2">
              <w:rPr>
                <w:rFonts w:ascii="Times New Roman" w:hAnsi="Times New Roman" w:cs="Times New Roman"/>
                <w:sz w:val="24"/>
                <w:szCs w:val="24"/>
              </w:rPr>
              <w:t>The health</w:t>
            </w:r>
            <w:r w:rsidR="002A2B17">
              <w:rPr>
                <w:rFonts w:ascii="Times New Roman" w:hAnsi="Times New Roman" w:cs="Times New Roman"/>
                <w:sz w:val="24"/>
                <w:szCs w:val="24"/>
              </w:rPr>
              <w:t>care</w:t>
            </w:r>
            <w:r w:rsidRPr="00680AA2">
              <w:rPr>
                <w:rFonts w:ascii="Times New Roman" w:hAnsi="Times New Roman" w:cs="Times New Roman"/>
                <w:sz w:val="24"/>
                <w:szCs w:val="24"/>
              </w:rPr>
              <w:t xml:space="preserve"> system and medical institutions. Medical specialties. Medical examination. The stages of the medical consultation. Types of medical examination. Diagnosis and </w:t>
            </w:r>
            <w:r w:rsidR="002A2B17" w:rsidRPr="00680AA2">
              <w:rPr>
                <w:rFonts w:ascii="Times New Roman" w:hAnsi="Times New Roman" w:cs="Times New Roman"/>
                <w:sz w:val="24"/>
                <w:szCs w:val="24"/>
              </w:rPr>
              <w:t xml:space="preserve">drugs </w:t>
            </w:r>
            <w:r w:rsidR="002A2B17">
              <w:rPr>
                <w:rFonts w:ascii="Times New Roman" w:hAnsi="Times New Roman" w:cs="Times New Roman"/>
                <w:sz w:val="24"/>
                <w:szCs w:val="24"/>
              </w:rPr>
              <w:t>prescription</w:t>
            </w:r>
            <w:r w:rsidRPr="00680AA2">
              <w:rPr>
                <w:rFonts w:ascii="Times New Roman" w:hAnsi="Times New Roman" w:cs="Times New Roman"/>
                <w:sz w:val="24"/>
                <w:szCs w:val="24"/>
              </w:rPr>
              <w:t xml:space="preserve">. </w:t>
            </w:r>
            <w:r w:rsidR="002A2B17">
              <w:rPr>
                <w:rFonts w:ascii="Times New Roman" w:hAnsi="Times New Roman" w:cs="Times New Roman"/>
                <w:sz w:val="24"/>
                <w:szCs w:val="24"/>
              </w:rPr>
              <w:t>First aid</w:t>
            </w:r>
            <w:r w:rsidRPr="00680AA2">
              <w:rPr>
                <w:rFonts w:ascii="Times New Roman" w:hAnsi="Times New Roman" w:cs="Times New Roman"/>
                <w:sz w:val="24"/>
                <w:szCs w:val="24"/>
              </w:rPr>
              <w:t xml:space="preserve">. </w:t>
            </w:r>
            <w:r w:rsidR="002A2B17">
              <w:rPr>
                <w:rFonts w:ascii="Times New Roman" w:hAnsi="Times New Roman" w:cs="Times New Roman"/>
                <w:sz w:val="24"/>
                <w:szCs w:val="24"/>
              </w:rPr>
              <w:t>Cardiovascular</w:t>
            </w:r>
            <w:r w:rsidRPr="00680AA2">
              <w:rPr>
                <w:rFonts w:ascii="Times New Roman" w:hAnsi="Times New Roman" w:cs="Times New Roman"/>
                <w:sz w:val="24"/>
                <w:szCs w:val="24"/>
              </w:rPr>
              <w:t xml:space="preserve"> disease</w:t>
            </w:r>
            <w:r w:rsidR="002A2B17">
              <w:rPr>
                <w:rFonts w:ascii="Times New Roman" w:hAnsi="Times New Roman" w:cs="Times New Roman"/>
                <w:sz w:val="24"/>
                <w:szCs w:val="24"/>
              </w:rPr>
              <w:t>s</w:t>
            </w:r>
            <w:r w:rsidRPr="00680AA2">
              <w:rPr>
                <w:rFonts w:ascii="Times New Roman" w:hAnsi="Times New Roman" w:cs="Times New Roman"/>
                <w:sz w:val="24"/>
                <w:szCs w:val="24"/>
              </w:rPr>
              <w:t>. The offensive against cancer continues. Medical ethics. Hippocrates' oath. Louis Pasteur-illustrious French scholar. Pasteur and rabies. Preparing the surgeon for surgery. Treatment in a spa resort.</w:t>
            </w:r>
          </w:p>
        </w:tc>
      </w:tr>
      <w:tr w:rsidR="00D6067B" w:rsidRPr="00BF445D" w14:paraId="34D3EDBB" w14:textId="77777777" w:rsidTr="00F95B03">
        <w:tc>
          <w:tcPr>
            <w:tcW w:w="2484" w:type="dxa"/>
            <w:shd w:val="clear" w:color="auto" w:fill="DBE5F1" w:themeFill="accent1" w:themeFillTint="33"/>
          </w:tcPr>
          <w:p w14:paraId="4FB4A349"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24"/>
              </w:rPr>
              <w:lastRenderedPageBreak/>
              <w:t xml:space="preserve">Outcomes </w:t>
            </w:r>
          </w:p>
        </w:tc>
        <w:tc>
          <w:tcPr>
            <w:tcW w:w="6861" w:type="dxa"/>
            <w:gridSpan w:val="4"/>
          </w:tcPr>
          <w:p w14:paraId="5FE8FBE3"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define </w:t>
            </w:r>
            <w:r w:rsidR="002A2B17" w:rsidRPr="00680AA2">
              <w:rPr>
                <w:rFonts w:ascii="Times New Roman" w:hAnsi="Times New Roman" w:cs="Times New Roman"/>
                <w:sz w:val="24"/>
                <w:szCs w:val="24"/>
              </w:rPr>
              <w:t xml:space="preserve">in foreign language </w:t>
            </w:r>
            <w:r w:rsidRPr="00680AA2">
              <w:rPr>
                <w:rFonts w:ascii="Times New Roman" w:hAnsi="Times New Roman" w:cs="Times New Roman"/>
                <w:sz w:val="24"/>
                <w:szCs w:val="24"/>
              </w:rPr>
              <w:t xml:space="preserve">the general medical language and terminology </w:t>
            </w:r>
            <w:r w:rsidR="00DF1AAA" w:rsidRPr="00680AA2">
              <w:rPr>
                <w:rFonts w:ascii="Times New Roman" w:hAnsi="Times New Roman" w:cs="Times New Roman"/>
                <w:sz w:val="24"/>
                <w:szCs w:val="24"/>
              </w:rPr>
              <w:t>particularities</w:t>
            </w:r>
            <w:r w:rsidRPr="00680AA2">
              <w:rPr>
                <w:rFonts w:ascii="Times New Roman" w:hAnsi="Times New Roman" w:cs="Times New Roman"/>
                <w:sz w:val="24"/>
                <w:szCs w:val="24"/>
              </w:rPr>
              <w:t>;</w:t>
            </w:r>
          </w:p>
          <w:p w14:paraId="0814218A"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identify the specialized symbols and the particularities of the medical language used in </w:t>
            </w:r>
            <w:r w:rsidR="009B3276">
              <w:rPr>
                <w:rFonts w:ascii="Times New Roman" w:hAnsi="Times New Roman" w:cs="Times New Roman"/>
                <w:sz w:val="24"/>
                <w:szCs w:val="24"/>
              </w:rPr>
              <w:t>medicine</w:t>
            </w:r>
            <w:r w:rsidRPr="00680AA2">
              <w:rPr>
                <w:rFonts w:ascii="Times New Roman" w:hAnsi="Times New Roman" w:cs="Times New Roman"/>
                <w:sz w:val="24"/>
                <w:szCs w:val="24"/>
              </w:rPr>
              <w:t>;</w:t>
            </w:r>
          </w:p>
          <w:p w14:paraId="07575818"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use the authentic lexicon specialized in the current communication </w:t>
            </w:r>
            <w:r w:rsidR="008248DB">
              <w:rPr>
                <w:rFonts w:ascii="Times New Roman" w:hAnsi="Times New Roman" w:cs="Times New Roman"/>
                <w:sz w:val="24"/>
                <w:szCs w:val="24"/>
              </w:rPr>
              <w:t>in</w:t>
            </w:r>
            <w:r w:rsidRPr="00680AA2">
              <w:rPr>
                <w:rFonts w:ascii="Times New Roman" w:hAnsi="Times New Roman" w:cs="Times New Roman"/>
                <w:sz w:val="24"/>
                <w:szCs w:val="24"/>
              </w:rPr>
              <w:t xml:space="preserve"> professional activity;</w:t>
            </w:r>
          </w:p>
          <w:p w14:paraId="3CDB4398"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apply the training mechanisms and the specifics of a </w:t>
            </w:r>
            <w:r w:rsidR="00430BD4" w:rsidRPr="00680AA2">
              <w:rPr>
                <w:rFonts w:ascii="Times New Roman" w:hAnsi="Times New Roman" w:cs="Times New Roman"/>
                <w:sz w:val="24"/>
                <w:szCs w:val="24"/>
              </w:rPr>
              <w:t xml:space="preserve">professional </w:t>
            </w:r>
            <w:r w:rsidRPr="00680AA2">
              <w:rPr>
                <w:rFonts w:ascii="Times New Roman" w:hAnsi="Times New Roman" w:cs="Times New Roman"/>
                <w:sz w:val="24"/>
                <w:szCs w:val="24"/>
              </w:rPr>
              <w:t>message or statement;</w:t>
            </w:r>
          </w:p>
          <w:p w14:paraId="42BD04DF"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lastRenderedPageBreak/>
              <w:t xml:space="preserve">• to define the grammatical structures characteristic of </w:t>
            </w:r>
            <w:r w:rsidR="00430BD4" w:rsidRPr="00680AA2">
              <w:rPr>
                <w:rFonts w:ascii="Times New Roman" w:hAnsi="Times New Roman" w:cs="Times New Roman"/>
                <w:sz w:val="24"/>
                <w:szCs w:val="24"/>
              </w:rPr>
              <w:t xml:space="preserve">professional </w:t>
            </w:r>
            <w:r w:rsidRPr="00680AA2">
              <w:rPr>
                <w:rFonts w:ascii="Times New Roman" w:hAnsi="Times New Roman" w:cs="Times New Roman"/>
                <w:sz w:val="24"/>
                <w:szCs w:val="24"/>
              </w:rPr>
              <w:t>foreign language;</w:t>
            </w:r>
          </w:p>
          <w:p w14:paraId="6870B301"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w:t>
            </w:r>
            <w:r w:rsidR="00430BD4">
              <w:rPr>
                <w:rFonts w:ascii="Times New Roman" w:hAnsi="Times New Roman" w:cs="Times New Roman"/>
                <w:sz w:val="24"/>
                <w:szCs w:val="24"/>
              </w:rPr>
              <w:t xml:space="preserve">to </w:t>
            </w:r>
            <w:r w:rsidRPr="00680AA2">
              <w:rPr>
                <w:rFonts w:ascii="Times New Roman" w:hAnsi="Times New Roman" w:cs="Times New Roman"/>
                <w:sz w:val="24"/>
                <w:szCs w:val="24"/>
              </w:rPr>
              <w:t xml:space="preserve">identify the medical language used in medicine </w:t>
            </w:r>
            <w:r w:rsidR="000B1507">
              <w:rPr>
                <w:rFonts w:ascii="Times New Roman" w:hAnsi="Times New Roman" w:cs="Times New Roman"/>
                <w:sz w:val="24"/>
                <w:szCs w:val="24"/>
              </w:rPr>
              <w:t>for</w:t>
            </w:r>
            <w:r w:rsidRPr="00680AA2">
              <w:rPr>
                <w:rFonts w:ascii="Times New Roman" w:hAnsi="Times New Roman" w:cs="Times New Roman"/>
                <w:sz w:val="24"/>
                <w:szCs w:val="24"/>
              </w:rPr>
              <w:t xml:space="preserve"> further language and communication skills (oral and written expression);</w:t>
            </w:r>
          </w:p>
          <w:p w14:paraId="46901EF4"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formulate basic principles and notions in medicine necessary </w:t>
            </w:r>
            <w:r w:rsidR="00BF2661">
              <w:rPr>
                <w:rFonts w:ascii="Times New Roman" w:hAnsi="Times New Roman" w:cs="Times New Roman"/>
                <w:sz w:val="24"/>
                <w:szCs w:val="24"/>
              </w:rPr>
              <w:t>for</w:t>
            </w:r>
            <w:r w:rsidRPr="00680AA2">
              <w:rPr>
                <w:rFonts w:ascii="Times New Roman" w:hAnsi="Times New Roman" w:cs="Times New Roman"/>
                <w:sz w:val="24"/>
                <w:szCs w:val="24"/>
              </w:rPr>
              <w:t xml:space="preserve"> the subsequent collaboration and participation </w:t>
            </w:r>
            <w:r w:rsidR="000B1507">
              <w:rPr>
                <w:rFonts w:ascii="Times New Roman" w:hAnsi="Times New Roman" w:cs="Times New Roman"/>
                <w:sz w:val="24"/>
                <w:szCs w:val="24"/>
              </w:rPr>
              <w:t>at</w:t>
            </w:r>
            <w:r w:rsidR="00430BD4">
              <w:rPr>
                <w:rFonts w:ascii="Times New Roman" w:hAnsi="Times New Roman" w:cs="Times New Roman"/>
                <w:sz w:val="24"/>
                <w:szCs w:val="24"/>
              </w:rPr>
              <w:t xml:space="preserve"> international conferences/</w:t>
            </w:r>
            <w:r w:rsidRPr="00680AA2">
              <w:rPr>
                <w:rFonts w:ascii="Times New Roman" w:hAnsi="Times New Roman" w:cs="Times New Roman"/>
                <w:sz w:val="24"/>
                <w:szCs w:val="24"/>
              </w:rPr>
              <w:t>projects;</w:t>
            </w:r>
          </w:p>
          <w:p w14:paraId="22005E91"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to interpret ideas, projects, processes, theoretical and practical contents of the discipline;</w:t>
            </w:r>
          </w:p>
          <w:p w14:paraId="0338B80C"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apply the </w:t>
            </w:r>
            <w:r w:rsidR="00A14079">
              <w:rPr>
                <w:rFonts w:ascii="Times New Roman" w:hAnsi="Times New Roman" w:cs="Times New Roman"/>
                <w:sz w:val="24"/>
                <w:szCs w:val="24"/>
              </w:rPr>
              <w:t>indicative (</w:t>
            </w:r>
            <w:r w:rsidRPr="00680AA2">
              <w:rPr>
                <w:rFonts w:ascii="Times New Roman" w:hAnsi="Times New Roman" w:cs="Times New Roman"/>
                <w:sz w:val="24"/>
                <w:szCs w:val="24"/>
              </w:rPr>
              <w:t>articles</w:t>
            </w:r>
            <w:r w:rsidR="00A14079">
              <w:rPr>
                <w:rFonts w:ascii="Times New Roman" w:hAnsi="Times New Roman" w:cs="Times New Roman"/>
                <w:sz w:val="24"/>
                <w:szCs w:val="24"/>
              </w:rPr>
              <w:t>),</w:t>
            </w:r>
            <w:r w:rsidRPr="00680AA2">
              <w:rPr>
                <w:rFonts w:ascii="Times New Roman" w:hAnsi="Times New Roman" w:cs="Times New Roman"/>
                <w:sz w:val="24"/>
                <w:szCs w:val="24"/>
              </w:rPr>
              <w:t xml:space="preserve"> cursive (</w:t>
            </w:r>
            <w:r w:rsidR="00A14079" w:rsidRPr="00680AA2">
              <w:rPr>
                <w:rFonts w:ascii="Times New Roman" w:hAnsi="Times New Roman" w:cs="Times New Roman"/>
                <w:sz w:val="24"/>
                <w:szCs w:val="24"/>
              </w:rPr>
              <w:t xml:space="preserve">content </w:t>
            </w:r>
            <w:r w:rsidRPr="00680AA2">
              <w:rPr>
                <w:rFonts w:ascii="Times New Roman" w:hAnsi="Times New Roman" w:cs="Times New Roman"/>
                <w:sz w:val="24"/>
                <w:szCs w:val="24"/>
              </w:rPr>
              <w:t>comprehension of a specialized text), selective (synthesis of information) and total (</w:t>
            </w:r>
            <w:r w:rsidR="000B1507">
              <w:rPr>
                <w:rFonts w:ascii="Times New Roman" w:hAnsi="Times New Roman" w:cs="Times New Roman"/>
                <w:sz w:val="24"/>
                <w:szCs w:val="24"/>
              </w:rPr>
              <w:t>integral</w:t>
            </w:r>
            <w:r w:rsidRPr="00680AA2">
              <w:rPr>
                <w:rFonts w:ascii="Times New Roman" w:hAnsi="Times New Roman" w:cs="Times New Roman"/>
                <w:sz w:val="24"/>
                <w:szCs w:val="24"/>
              </w:rPr>
              <w:t xml:space="preserve"> comprehension of the content of the text)</w:t>
            </w:r>
            <w:r w:rsidR="000B1507" w:rsidRPr="00680AA2">
              <w:rPr>
                <w:rFonts w:ascii="Times New Roman" w:hAnsi="Times New Roman" w:cs="Times New Roman"/>
                <w:sz w:val="24"/>
                <w:szCs w:val="24"/>
              </w:rPr>
              <w:t xml:space="preserve"> reading skills;</w:t>
            </w:r>
          </w:p>
          <w:p w14:paraId="31F94FE5"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to reproduce the specialized text in the foreign language;</w:t>
            </w:r>
          </w:p>
          <w:p w14:paraId="447ACC20"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to use the translation of texts, articles, documents in foreign language;</w:t>
            </w:r>
          </w:p>
          <w:p w14:paraId="35F5C07E"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to develop selection, synthesis and summary skills;</w:t>
            </w:r>
          </w:p>
          <w:p w14:paraId="2FE66596" w14:textId="77777777" w:rsidR="00D6067B"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develop communication skills </w:t>
            </w:r>
            <w:r w:rsidR="00A14079">
              <w:rPr>
                <w:rFonts w:ascii="Times New Roman" w:hAnsi="Times New Roman" w:cs="Times New Roman"/>
                <w:sz w:val="24"/>
                <w:szCs w:val="24"/>
              </w:rPr>
              <w:t xml:space="preserve">in order </w:t>
            </w:r>
            <w:r w:rsidRPr="00680AA2">
              <w:rPr>
                <w:rFonts w:ascii="Times New Roman" w:hAnsi="Times New Roman" w:cs="Times New Roman"/>
                <w:sz w:val="24"/>
                <w:szCs w:val="24"/>
              </w:rPr>
              <w:t>to initiate discussions, dialogues, thematic debates in professional situations;</w:t>
            </w:r>
          </w:p>
        </w:tc>
      </w:tr>
      <w:tr w:rsidR="00D6067B" w:rsidRPr="00BF445D" w14:paraId="1880FD2C" w14:textId="77777777" w:rsidTr="00F95B03">
        <w:tc>
          <w:tcPr>
            <w:tcW w:w="2484" w:type="dxa"/>
          </w:tcPr>
          <w:p w14:paraId="4153E84A" w14:textId="77777777" w:rsidR="00D6067B" w:rsidRPr="00680AA2" w:rsidRDefault="00D6067B" w:rsidP="00684201">
            <w:pPr>
              <w:spacing w:after="0"/>
              <w:rPr>
                <w:rFonts w:ascii="Times New Roman" w:hAnsi="Times New Roman" w:cs="Times New Roman"/>
                <w:sz w:val="24"/>
                <w:szCs w:val="24"/>
              </w:rPr>
            </w:pPr>
            <w:r w:rsidRPr="00680AA2">
              <w:rPr>
                <w:rFonts w:ascii="Times New Roman" w:hAnsi="Times New Roman" w:cs="Times New Roman"/>
                <w:sz w:val="24"/>
                <w:szCs w:val="24"/>
              </w:rPr>
              <w:lastRenderedPageBreak/>
              <w:t>Clinical skills</w:t>
            </w:r>
          </w:p>
        </w:tc>
        <w:tc>
          <w:tcPr>
            <w:tcW w:w="6861" w:type="dxa"/>
            <w:gridSpan w:val="4"/>
          </w:tcPr>
          <w:p w14:paraId="4B03320E"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to analyze and synthesize information from authentic sources and present it in oral or written form;</w:t>
            </w:r>
          </w:p>
          <w:p w14:paraId="54A40E63" w14:textId="77777777" w:rsidR="003F37B6"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xml:space="preserve">• to use knowledge and communication skills in a professional environment, using </w:t>
            </w:r>
            <w:r w:rsidR="008527CF">
              <w:rPr>
                <w:rFonts w:ascii="Times New Roman" w:hAnsi="Times New Roman" w:cs="Times New Roman"/>
                <w:sz w:val="24"/>
                <w:szCs w:val="24"/>
              </w:rPr>
              <w:t xml:space="preserve">medical </w:t>
            </w:r>
            <w:r w:rsidRPr="00680AA2">
              <w:rPr>
                <w:rFonts w:ascii="Times New Roman" w:hAnsi="Times New Roman" w:cs="Times New Roman"/>
                <w:sz w:val="24"/>
                <w:szCs w:val="24"/>
              </w:rPr>
              <w:t>topics in order to promote an intercultural and interdisciplinary dialogue;</w:t>
            </w:r>
          </w:p>
          <w:p w14:paraId="34C8DADC" w14:textId="77777777" w:rsidR="00D6067B" w:rsidRPr="00680AA2" w:rsidRDefault="003F37B6" w:rsidP="00684201">
            <w:pPr>
              <w:spacing w:after="0" w:line="240" w:lineRule="auto"/>
              <w:jc w:val="both"/>
              <w:rPr>
                <w:rFonts w:ascii="Times New Roman" w:hAnsi="Times New Roman" w:cs="Times New Roman"/>
                <w:sz w:val="24"/>
                <w:szCs w:val="24"/>
              </w:rPr>
            </w:pPr>
            <w:r w:rsidRPr="00680AA2">
              <w:rPr>
                <w:rFonts w:ascii="Times New Roman" w:hAnsi="Times New Roman" w:cs="Times New Roman"/>
                <w:sz w:val="24"/>
                <w:szCs w:val="24"/>
              </w:rPr>
              <w:t>• to implement the knowl</w:t>
            </w:r>
            <w:r w:rsidR="00684201">
              <w:rPr>
                <w:rFonts w:ascii="Times New Roman" w:hAnsi="Times New Roman" w:cs="Times New Roman"/>
                <w:sz w:val="24"/>
                <w:szCs w:val="24"/>
              </w:rPr>
              <w:t>edge acquired in the research/</w:t>
            </w:r>
            <w:r w:rsidR="00A14079">
              <w:rPr>
                <w:rFonts w:ascii="Times New Roman" w:hAnsi="Times New Roman" w:cs="Times New Roman"/>
                <w:sz w:val="24"/>
                <w:szCs w:val="24"/>
              </w:rPr>
              <w:t>ed</w:t>
            </w:r>
            <w:r w:rsidRPr="00680AA2">
              <w:rPr>
                <w:rFonts w:ascii="Times New Roman" w:hAnsi="Times New Roman" w:cs="Times New Roman"/>
                <w:sz w:val="24"/>
                <w:szCs w:val="24"/>
              </w:rPr>
              <w:t>it</w:t>
            </w:r>
            <w:r w:rsidR="00A14079">
              <w:rPr>
                <w:rFonts w:ascii="Times New Roman" w:hAnsi="Times New Roman" w:cs="Times New Roman"/>
                <w:sz w:val="24"/>
                <w:szCs w:val="24"/>
              </w:rPr>
              <w:t>ing activity of some specialty</w:t>
            </w:r>
            <w:r w:rsidRPr="00680AA2">
              <w:rPr>
                <w:rFonts w:ascii="Times New Roman" w:hAnsi="Times New Roman" w:cs="Times New Roman"/>
                <w:sz w:val="24"/>
                <w:szCs w:val="24"/>
              </w:rPr>
              <w:t xml:space="preserve"> works in the foreign language.</w:t>
            </w:r>
          </w:p>
        </w:tc>
      </w:tr>
      <w:tr w:rsidR="00D6067B" w:rsidRPr="00BF445D" w14:paraId="37201491" w14:textId="77777777" w:rsidTr="00F95B03">
        <w:tc>
          <w:tcPr>
            <w:tcW w:w="2484" w:type="dxa"/>
            <w:shd w:val="clear" w:color="auto" w:fill="DBE5F1" w:themeFill="accent1" w:themeFillTint="33"/>
          </w:tcPr>
          <w:p w14:paraId="277D2CE5" w14:textId="77777777" w:rsidR="00D6067B" w:rsidRPr="00BF445D" w:rsidRDefault="00D6067B" w:rsidP="00684201">
            <w:pPr>
              <w:spacing w:after="0"/>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14:paraId="0830119B" w14:textId="77777777" w:rsidR="00D6067B" w:rsidRPr="00BF445D" w:rsidRDefault="00AC6E8F" w:rsidP="00F95B03">
            <w:pPr>
              <w:rPr>
                <w:rFonts w:ascii="Times New Roman" w:hAnsi="Times New Roman" w:cs="Times New Roman"/>
                <w:sz w:val="24"/>
                <w:szCs w:val="24"/>
              </w:rPr>
            </w:pPr>
            <w:r>
              <w:rPr>
                <w:rFonts w:ascii="Times New Roman" w:hAnsi="Times New Roman" w:cs="Times New Roman"/>
                <w:sz w:val="24"/>
                <w:szCs w:val="24"/>
                <w:lang w:val="ro-RO"/>
              </w:rPr>
              <w:t>E/E</w:t>
            </w:r>
          </w:p>
        </w:tc>
      </w:tr>
    </w:tbl>
    <w:p w14:paraId="64C1CD6C" w14:textId="77777777" w:rsidR="00D6067B" w:rsidRPr="00BF445D" w:rsidRDefault="00D6067B" w:rsidP="00D6067B"/>
    <w:p w14:paraId="79F2A4C3" w14:textId="77777777" w:rsidR="00D6067B" w:rsidRPr="00BF445D" w:rsidRDefault="00D6067B" w:rsidP="00D6067B"/>
    <w:p w14:paraId="6CA7C8B2" w14:textId="77777777" w:rsidR="00D6067B" w:rsidRPr="00BF445D" w:rsidRDefault="00D6067B" w:rsidP="00D6067B"/>
    <w:p w14:paraId="7BCB383E" w14:textId="77777777" w:rsidR="00D6067B" w:rsidRPr="00BF445D" w:rsidRDefault="00D6067B" w:rsidP="00D6067B">
      <w:pPr>
        <w:rPr>
          <w:rFonts w:ascii="Times New Roman" w:hAnsi="Times New Roman" w:cs="Times New Roman"/>
          <w:sz w:val="24"/>
          <w:szCs w:val="24"/>
        </w:rPr>
      </w:pPr>
    </w:p>
    <w:p w14:paraId="3E398BCC" w14:textId="77777777" w:rsidR="009075D2" w:rsidRDefault="009075D2"/>
    <w:sectPr w:rsidR="009075D2" w:rsidSect="00907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067B"/>
    <w:rsid w:val="000136A8"/>
    <w:rsid w:val="00066130"/>
    <w:rsid w:val="00070061"/>
    <w:rsid w:val="000A5229"/>
    <w:rsid w:val="000B1507"/>
    <w:rsid w:val="000B222C"/>
    <w:rsid w:val="000B3CF0"/>
    <w:rsid w:val="000C63CA"/>
    <w:rsid w:val="00181286"/>
    <w:rsid w:val="001B1F26"/>
    <w:rsid w:val="001C7058"/>
    <w:rsid w:val="002A2B17"/>
    <w:rsid w:val="0032648D"/>
    <w:rsid w:val="003520F1"/>
    <w:rsid w:val="0039018E"/>
    <w:rsid w:val="003F37B6"/>
    <w:rsid w:val="00430AE2"/>
    <w:rsid w:val="00430BD4"/>
    <w:rsid w:val="004332A9"/>
    <w:rsid w:val="004A16D2"/>
    <w:rsid w:val="00527A41"/>
    <w:rsid w:val="005B2117"/>
    <w:rsid w:val="00660270"/>
    <w:rsid w:val="00680AA2"/>
    <w:rsid w:val="0068302F"/>
    <w:rsid w:val="00684201"/>
    <w:rsid w:val="00685537"/>
    <w:rsid w:val="00706510"/>
    <w:rsid w:val="00723164"/>
    <w:rsid w:val="007379A9"/>
    <w:rsid w:val="007C4989"/>
    <w:rsid w:val="00805AEB"/>
    <w:rsid w:val="008248DB"/>
    <w:rsid w:val="008527CF"/>
    <w:rsid w:val="00867DF4"/>
    <w:rsid w:val="009075D2"/>
    <w:rsid w:val="009B3276"/>
    <w:rsid w:val="009F5A8A"/>
    <w:rsid w:val="00A013A9"/>
    <w:rsid w:val="00A14079"/>
    <w:rsid w:val="00AC6E8F"/>
    <w:rsid w:val="00BF2661"/>
    <w:rsid w:val="00C20AAD"/>
    <w:rsid w:val="00CC2B8E"/>
    <w:rsid w:val="00CE3FC0"/>
    <w:rsid w:val="00D54434"/>
    <w:rsid w:val="00D6067B"/>
    <w:rsid w:val="00D915C1"/>
    <w:rsid w:val="00DF1AAA"/>
    <w:rsid w:val="00E441CD"/>
    <w:rsid w:val="00E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F03D"/>
  <w15:docId w15:val="{7AC293A2-22C9-4AAF-92F6-9AFE910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7B"/>
    <w:pPr>
      <w:spacing w:after="160" w:line="259" w:lineRule="auto"/>
    </w:pPr>
    <w:rPr>
      <w:lang w:val="en-GB"/>
    </w:rPr>
  </w:style>
  <w:style w:type="paragraph" w:styleId="Heading2">
    <w:name w:val="heading 2"/>
    <w:basedOn w:val="Normal"/>
    <w:link w:val="Heading2Char"/>
    <w:uiPriority w:val="9"/>
    <w:qFormat/>
    <w:rsid w:val="003F37B6"/>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6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7B6"/>
    <w:rPr>
      <w:rFonts w:ascii="Times New Roman" w:eastAsia="Times New Roman" w:hAnsi="Times New Roman" w:cs="Times New Roman"/>
      <w:b/>
      <w:bCs/>
      <w:sz w:val="36"/>
      <w:szCs w:val="36"/>
      <w:lang w:eastAsia="ro-RO"/>
    </w:rPr>
  </w:style>
  <w:style w:type="character" w:customStyle="1" w:styleId="jlqj4b">
    <w:name w:val="jlqj4b"/>
    <w:basedOn w:val="DefaultParagraphFont"/>
    <w:rsid w:val="003F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467006">
      <w:bodyDiv w:val="1"/>
      <w:marLeft w:val="0"/>
      <w:marRight w:val="0"/>
      <w:marTop w:val="0"/>
      <w:marBottom w:val="0"/>
      <w:divBdr>
        <w:top w:val="none" w:sz="0" w:space="0" w:color="auto"/>
        <w:left w:val="none" w:sz="0" w:space="0" w:color="auto"/>
        <w:bottom w:val="none" w:sz="0" w:space="0" w:color="auto"/>
        <w:right w:val="none" w:sz="0" w:space="0" w:color="auto"/>
      </w:divBdr>
      <w:divsChild>
        <w:div w:id="233593155">
          <w:marLeft w:val="0"/>
          <w:marRight w:val="0"/>
          <w:marTop w:val="100"/>
          <w:marBottom w:val="0"/>
          <w:divBdr>
            <w:top w:val="none" w:sz="0" w:space="0" w:color="auto"/>
            <w:left w:val="none" w:sz="0" w:space="0" w:color="auto"/>
            <w:bottom w:val="none" w:sz="0" w:space="0" w:color="auto"/>
            <w:right w:val="none" w:sz="0" w:space="0" w:color="auto"/>
          </w:divBdr>
          <w:divsChild>
            <w:div w:id="948968814">
              <w:marLeft w:val="0"/>
              <w:marRight w:val="0"/>
              <w:marTop w:val="60"/>
              <w:marBottom w:val="0"/>
              <w:divBdr>
                <w:top w:val="none" w:sz="0" w:space="0" w:color="auto"/>
                <w:left w:val="none" w:sz="0" w:space="0" w:color="auto"/>
                <w:bottom w:val="none" w:sz="0" w:space="0" w:color="auto"/>
                <w:right w:val="none" w:sz="0" w:space="0" w:color="auto"/>
              </w:divBdr>
            </w:div>
          </w:divsChild>
        </w:div>
        <w:div w:id="1344237634">
          <w:marLeft w:val="0"/>
          <w:marRight w:val="0"/>
          <w:marTop w:val="0"/>
          <w:marBottom w:val="0"/>
          <w:divBdr>
            <w:top w:val="none" w:sz="0" w:space="0" w:color="auto"/>
            <w:left w:val="none" w:sz="0" w:space="0" w:color="auto"/>
            <w:bottom w:val="none" w:sz="0" w:space="0" w:color="auto"/>
            <w:right w:val="none" w:sz="0" w:space="0" w:color="auto"/>
          </w:divBdr>
          <w:divsChild>
            <w:div w:id="515971506">
              <w:marLeft w:val="0"/>
              <w:marRight w:val="0"/>
              <w:marTop w:val="0"/>
              <w:marBottom w:val="0"/>
              <w:divBdr>
                <w:top w:val="none" w:sz="0" w:space="0" w:color="auto"/>
                <w:left w:val="none" w:sz="0" w:space="0" w:color="auto"/>
                <w:bottom w:val="none" w:sz="0" w:space="0" w:color="auto"/>
                <w:right w:val="none" w:sz="0" w:space="0" w:color="auto"/>
              </w:divBdr>
              <w:divsChild>
                <w:div w:id="964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2021-09-06T06:53:00Z</dcterms:created>
  <dcterms:modified xsi:type="dcterms:W3CDTF">2022-09-12T09:35:00Z</dcterms:modified>
</cp:coreProperties>
</file>