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473"/>
        <w:gridCol w:w="849"/>
        <w:gridCol w:w="3238"/>
        <w:gridCol w:w="1261"/>
      </w:tblGrid>
      <w:tr w:rsidR="00CE4094" w:rsidRPr="00BF445D" w14:paraId="2DD34A2F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4473F4F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Name of discipline</w:t>
            </w:r>
          </w:p>
        </w:tc>
        <w:tc>
          <w:tcPr>
            <w:tcW w:w="6861" w:type="dxa"/>
            <w:gridSpan w:val="4"/>
          </w:tcPr>
          <w:p w14:paraId="5C546C80" w14:textId="70B3549E" w:rsidR="00CE4094" w:rsidRPr="001B149F" w:rsidRDefault="009E7427" w:rsidP="00A0699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English/French</w:t>
            </w:r>
            <w:r w:rsidR="00FC33EA"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. Dentistry</w:t>
            </w:r>
          </w:p>
        </w:tc>
      </w:tr>
      <w:tr w:rsidR="00CE4094" w:rsidRPr="00BF445D" w14:paraId="096C8041" w14:textId="77777777" w:rsidTr="00621B81">
        <w:tc>
          <w:tcPr>
            <w:tcW w:w="2484" w:type="dxa"/>
          </w:tcPr>
          <w:p w14:paraId="1DD1C531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Type</w:t>
            </w:r>
          </w:p>
        </w:tc>
        <w:tc>
          <w:tcPr>
            <w:tcW w:w="2331" w:type="dxa"/>
            <w:gridSpan w:val="2"/>
          </w:tcPr>
          <w:p w14:paraId="1386B3A8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Compulsory</w:t>
            </w:r>
          </w:p>
        </w:tc>
        <w:tc>
          <w:tcPr>
            <w:tcW w:w="3260" w:type="dxa"/>
          </w:tcPr>
          <w:p w14:paraId="31A6F91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1270" w:type="dxa"/>
            <w:vAlign w:val="center"/>
          </w:tcPr>
          <w:p w14:paraId="6DAFB981" w14:textId="4CC9D0D9" w:rsidR="00CE4094" w:rsidRPr="00BF445D" w:rsidRDefault="007168B3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</w:p>
        </w:tc>
      </w:tr>
      <w:tr w:rsidR="00CE4094" w:rsidRPr="00BF445D" w14:paraId="687605FF" w14:textId="77777777" w:rsidTr="00621B81">
        <w:tc>
          <w:tcPr>
            <w:tcW w:w="2484" w:type="dxa"/>
          </w:tcPr>
          <w:p w14:paraId="2280F0CB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Academic year</w:t>
            </w:r>
          </w:p>
        </w:tc>
        <w:tc>
          <w:tcPr>
            <w:tcW w:w="2331" w:type="dxa"/>
            <w:gridSpan w:val="2"/>
          </w:tcPr>
          <w:p w14:paraId="47A2518B" w14:textId="77777777" w:rsidR="00CE4094" w:rsidRPr="00BF445D" w:rsidRDefault="00CE4094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</w:p>
        </w:tc>
        <w:tc>
          <w:tcPr>
            <w:tcW w:w="3260" w:type="dxa"/>
          </w:tcPr>
          <w:p w14:paraId="391F2B5F" w14:textId="22CFE022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0" w:type="dxa"/>
            <w:vAlign w:val="center"/>
          </w:tcPr>
          <w:p w14:paraId="7BCFA83C" w14:textId="15DDC890" w:rsidR="00CE4094" w:rsidRPr="00BF445D" w:rsidRDefault="007168B3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716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094" w:rsidRPr="00BF445D" w14:paraId="18E92AEB" w14:textId="77777777" w:rsidTr="00621B81">
        <w:tc>
          <w:tcPr>
            <w:tcW w:w="2484" w:type="dxa"/>
            <w:vMerge w:val="restart"/>
          </w:tcPr>
          <w:p w14:paraId="12D0FFC0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1480" w:type="dxa"/>
          </w:tcPr>
          <w:p w14:paraId="76F022B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</w:p>
        </w:tc>
        <w:tc>
          <w:tcPr>
            <w:tcW w:w="851" w:type="dxa"/>
            <w:vAlign w:val="center"/>
          </w:tcPr>
          <w:p w14:paraId="7571C37D" w14:textId="77777777" w:rsidR="00CE4094" w:rsidRPr="00BF445D" w:rsidRDefault="00CE4094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6584FA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work</w:t>
            </w:r>
          </w:p>
        </w:tc>
        <w:tc>
          <w:tcPr>
            <w:tcW w:w="1270" w:type="dxa"/>
            <w:vAlign w:val="center"/>
          </w:tcPr>
          <w:p w14:paraId="59AB3A51" w14:textId="77777777" w:rsidR="00CE4094" w:rsidRPr="00BF445D" w:rsidRDefault="009E7427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094" w:rsidRPr="00BF445D" w14:paraId="7E39BEE1" w14:textId="77777777" w:rsidTr="00621B81">
        <w:tc>
          <w:tcPr>
            <w:tcW w:w="2484" w:type="dxa"/>
            <w:vMerge/>
          </w:tcPr>
          <w:p w14:paraId="442025A7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515EEC" w14:textId="28047E8E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  <w:vAlign w:val="center"/>
          </w:tcPr>
          <w:p w14:paraId="6CB342BF" w14:textId="14FA2D9C" w:rsidR="00CE4094" w:rsidRPr="00BF445D" w:rsidRDefault="009E7427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4149060" w14:textId="07929395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Self-training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1270" w:type="dxa"/>
            <w:vAlign w:val="center"/>
          </w:tcPr>
          <w:p w14:paraId="13F37770" w14:textId="6CFEBB00" w:rsidR="00CE4094" w:rsidRPr="00BF445D" w:rsidRDefault="007168B3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E7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4094" w:rsidRPr="00BF445D" w14:paraId="27BBC42E" w14:textId="77777777" w:rsidTr="00621B81">
        <w:tc>
          <w:tcPr>
            <w:tcW w:w="2484" w:type="dxa"/>
          </w:tcPr>
          <w:p w14:paraId="085CAA9D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Component</w:t>
            </w:r>
          </w:p>
        </w:tc>
        <w:tc>
          <w:tcPr>
            <w:tcW w:w="6861" w:type="dxa"/>
            <w:gridSpan w:val="4"/>
          </w:tcPr>
          <w:p w14:paraId="6609F9A9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iCs/>
                <w:sz w:val="24"/>
                <w:szCs w:val="18"/>
              </w:rPr>
              <w:t>Socio-human orientation</w:t>
            </w:r>
          </w:p>
        </w:tc>
      </w:tr>
      <w:tr w:rsidR="00CE4094" w:rsidRPr="00BF445D" w14:paraId="111432A1" w14:textId="77777777" w:rsidTr="0064590E">
        <w:trPr>
          <w:trHeight w:val="580"/>
        </w:trPr>
        <w:tc>
          <w:tcPr>
            <w:tcW w:w="2484" w:type="dxa"/>
          </w:tcPr>
          <w:p w14:paraId="6961CEE2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Course holder</w:t>
            </w:r>
          </w:p>
        </w:tc>
        <w:tc>
          <w:tcPr>
            <w:tcW w:w="6861" w:type="dxa"/>
            <w:gridSpan w:val="4"/>
          </w:tcPr>
          <w:p w14:paraId="684A9A74" w14:textId="6BC91811" w:rsidR="0064590E" w:rsidRPr="0064590E" w:rsidRDefault="0064590E" w:rsidP="0064590E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Daniela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Eșanu-Dumnazev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assoc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. prof., Liliana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Panciuc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assist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. lect., Natalia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Doronin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assist.lect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E4094" w:rsidRPr="00BF445D" w14:paraId="7294FF55" w14:textId="77777777" w:rsidTr="00621B81">
        <w:tc>
          <w:tcPr>
            <w:tcW w:w="2484" w:type="dxa"/>
          </w:tcPr>
          <w:p w14:paraId="4EE6FFD6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 xml:space="preserve">Location </w:t>
            </w:r>
          </w:p>
        </w:tc>
        <w:tc>
          <w:tcPr>
            <w:tcW w:w="6861" w:type="dxa"/>
            <w:gridSpan w:val="4"/>
          </w:tcPr>
          <w:p w14:paraId="0EF19B2C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34">
              <w:rPr>
                <w:rFonts w:ascii="Times New Roman" w:hAnsi="Times New Roman" w:cs="Times New Roman"/>
                <w:sz w:val="24"/>
                <w:szCs w:val="18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and learning building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no. 3,</w:t>
            </w:r>
          </w:p>
          <w:p w14:paraId="65DAA612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194 A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Mare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Sfânt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Street, </w:t>
            </w:r>
          </w:p>
          <w:p w14:paraId="1021FE7F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Chisinau, MD-2004, Republic of Moldova</w:t>
            </w:r>
          </w:p>
          <w:p w14:paraId="032D0E94" w14:textId="77777777" w:rsidR="00CE4094" w:rsidRPr="00BF445D" w:rsidRDefault="009E7427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(+373) 22 205 204</w:t>
            </w:r>
          </w:p>
        </w:tc>
      </w:tr>
      <w:tr w:rsidR="00CE4094" w:rsidRPr="00BF445D" w14:paraId="0BFFADE2" w14:textId="77777777" w:rsidTr="00621B81">
        <w:tc>
          <w:tcPr>
            <w:tcW w:w="2484" w:type="dxa"/>
            <w:vMerge w:val="restart"/>
          </w:tcPr>
          <w:p w14:paraId="5914493B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Conditionings and prerequisites of:</w:t>
            </w:r>
          </w:p>
        </w:tc>
        <w:tc>
          <w:tcPr>
            <w:tcW w:w="6861" w:type="dxa"/>
            <w:gridSpan w:val="4"/>
          </w:tcPr>
          <w:p w14:paraId="7A4A35D2" w14:textId="77777777" w:rsidR="00CE4094" w:rsidRPr="00BF445D" w:rsidRDefault="009E7427" w:rsidP="007168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Specialized languages study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requires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the minimum knowledge of foreign languages A2-B1 according to CEFRL.</w:t>
            </w:r>
          </w:p>
        </w:tc>
      </w:tr>
      <w:tr w:rsidR="00CE4094" w:rsidRPr="00BF445D" w14:paraId="26BBBBA2" w14:textId="77777777" w:rsidTr="00621B81">
        <w:tc>
          <w:tcPr>
            <w:tcW w:w="2484" w:type="dxa"/>
            <w:vMerge/>
          </w:tcPr>
          <w:p w14:paraId="6ABE5C7D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gridSpan w:val="4"/>
          </w:tcPr>
          <w:p w14:paraId="23EF19C1" w14:textId="77777777" w:rsidR="00CE4094" w:rsidRPr="00BF445D" w:rsidRDefault="009E7427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Minimum knowledge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foreign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languages A2-B1 according to CEFRL; digital competences; ability to communicate and work in a team;</w:t>
            </w:r>
          </w:p>
        </w:tc>
      </w:tr>
      <w:tr w:rsidR="00CE4094" w:rsidRPr="00BF445D" w14:paraId="5F682D9C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0B1A0A6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Mission of the discipline</w:t>
            </w:r>
          </w:p>
        </w:tc>
        <w:tc>
          <w:tcPr>
            <w:tcW w:w="6861" w:type="dxa"/>
            <w:gridSpan w:val="4"/>
          </w:tcPr>
          <w:p w14:paraId="010CB429" w14:textId="3C192F79" w:rsidR="00CE4094" w:rsidRPr="009E7427" w:rsidRDefault="009E7427" w:rsidP="009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812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English/French (for indigenous 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) is a practical course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for students in the training and prof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essional activity of specialty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oreign languages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application and active use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. The course is meant to form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foreign language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written and oral communication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skills set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by Common European Framework of Reference for Languages ​​/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CEFRL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/. </w:t>
            </w:r>
            <w:r w:rsidRPr="001812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 xml:space="preserve">Modern Languages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course</w:t>
            </w:r>
            <w:r w:rsidRPr="001812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 xml:space="preserve"> ​</w:t>
            </w:r>
            <w:proofErr w:type="gramStart"/>
            <w:r w:rsidRPr="001812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​(</w:t>
            </w:r>
            <w:proofErr w:type="gramEnd"/>
            <w:r w:rsidRPr="001812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>terminological language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focuses on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essential medical terminological language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learning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forming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linguistic skills, necessary for academic mobility, intercultural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professional integration. U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niversity education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ormative orientation and 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’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professional training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as a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reference for vocational training system of 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care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specialists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foreign language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communication, international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communication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acilitation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and public health cooperation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targeted to a </w:t>
            </w:r>
            <w:r w:rsidRPr="0068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competitive labor market. </w:t>
            </w:r>
          </w:p>
        </w:tc>
      </w:tr>
      <w:tr w:rsidR="00CE4094" w:rsidRPr="00BF445D" w14:paraId="66675ED5" w14:textId="77777777" w:rsidTr="00621B81">
        <w:tc>
          <w:tcPr>
            <w:tcW w:w="2484" w:type="dxa"/>
          </w:tcPr>
          <w:p w14:paraId="3AAA93AA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the topics</w:t>
            </w:r>
          </w:p>
        </w:tc>
        <w:tc>
          <w:tcPr>
            <w:tcW w:w="6861" w:type="dxa"/>
            <w:gridSpan w:val="4"/>
          </w:tcPr>
          <w:p w14:paraId="3CEFA578" w14:textId="56A7F94C" w:rsidR="004A5F34" w:rsidRPr="00B86A52" w:rsidRDefault="000A5FE8" w:rsidP="007168B3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5FE8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7168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716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</w:t>
            </w:r>
            <w:r w:rsidR="007168B3" w:rsidRPr="00716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168B3" w:rsidRPr="00716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Тestemiţanu</w:t>
            </w:r>
            <w:proofErr w:type="spellEnd"/>
            <w:r w:rsidR="007168B3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ate University of Medicine and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harmacy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Nicolae </w:t>
            </w:r>
            <w:proofErr w:type="spellStart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Тestemiţanu</w:t>
            </w:r>
            <w:proofErr w:type="spellEnd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- outstandi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ng personality in M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edicine. H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 xml:space="preserve">istory of dentistry. 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Hippocratic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oath. Human body. Teeth structure.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First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second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Dentitions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Surface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teeth</w:t>
            </w:r>
            <w:proofErr w:type="spellEnd"/>
            <w:r w:rsidR="00CD65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Anatomy of individual teeth. The jaws. Salivary gla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nds. Teeth and gums. Dental aid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Dental services in 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the Republic of Moldova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Dental education in the USA. Preventive dentistr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y. A visit to the dentist. D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ental team. Tooth decay. Causes, effects of caries. Prevention and treatment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 xml:space="preserve"> of dental caries. Fillings as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conservative treatment of dental caries. Pulpit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and alveolar abscess. Saliva control. Fillings. Filling materials and dental instruments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Dental instruments. Handpieces. 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Burs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Endodontics. Pulpotom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y and apicectomy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Periodontal disease. Acute ulcerative gingivitis. Dental care ser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>vices in the United Kingdom. S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caling and gingivectomy. Gingivectomy. Oral surgery. Root c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anal therapy. Prosthetics. 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ffects of tooth loss. Stages of </w:t>
            </w:r>
            <w:r w:rsidR="00CD65D9" w:rsidRPr="004A5F34">
              <w:rPr>
                <w:rFonts w:ascii="Times New Roman" w:hAnsi="Times New Roman" w:cs="Times New Roman"/>
                <w:sz w:val="24"/>
                <w:szCs w:val="24"/>
              </w:rPr>
              <w:t>denture</w:t>
            </w:r>
            <w:r w:rsidR="00CD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construction.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Impression materials.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Alginate.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Impression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paste. The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bite </w:t>
            </w:r>
            <w:proofErr w:type="gramStart"/>
            <w:r w:rsidR="00B86A52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gramEnd"/>
            <w:r w:rsidR="00B86A52">
              <w:rPr>
                <w:rFonts w:ascii="Times New Roman" w:hAnsi="Times New Roman" w:cs="Times New Roman"/>
                <w:sz w:val="24"/>
                <w:szCs w:val="24"/>
              </w:rPr>
              <w:t>. The try-in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stage.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The fitting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gramEnd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Orthodontics. Causes of malocclusion. Treatment of malocclus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ion. Orthodontics. C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ause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s, treatment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of malocclusion.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Orthodontia. Oral habits as a reason of malocclusion. Models. Temporal splinting. The porcelain jacket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crown.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 Treatment of deep overbite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Fix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ed partial dentures. The X-ray as an aid in caries diagnosis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Sources of oral sepsis. Alveolar pyorrhea. Physical health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status affecting periodontal therapy.</w:t>
            </w:r>
            <w:r w:rsidR="00B86A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Pulp involvement. Traumatic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injuries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 of the teeth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Traumatic diseases of the jaws. Tissue loss. Means of restoration. Ch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oice of method. Resection of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jaw bones and their replacement. Inf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ectious diseases of the jaws. Syndrome of a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cute osteomyelitis of the upper jaw in early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infancy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 Tumors of the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 jaw and oral mucosa. A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ngioma of the tongue. Osteogenic sarcoma.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86A52" w:rsidRPr="004A5F34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 formation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Double lip. Case report. Oral hygiene and prevention of dental diseases. Oral hygiene. Dietary discipline. Prophylactic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measure- the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a toothbrush. Toothbrushing. P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laque. Preventive dentistry. Public health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measures -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>dental health education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A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Diet. Fluoridation and the environment.</w:t>
            </w:r>
          </w:p>
          <w:p w14:paraId="50ABB5B9" w14:textId="77777777" w:rsidR="00CE4094" w:rsidRPr="00BF445D" w:rsidRDefault="0088501C" w:rsidP="007168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1C">
              <w:rPr>
                <w:rFonts w:ascii="Times New Roman" w:hAnsi="Times New Roman" w:cs="Times New Roman"/>
                <w:b/>
                <w:sz w:val="24"/>
                <w:szCs w:val="24"/>
              </w:rPr>
              <w:t>French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4A5F34"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chosen </w:t>
            </w:r>
            <w:r w:rsidRPr="004A5F34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Testemitanu</w:t>
            </w:r>
            <w:proofErr w:type="spellEnd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 of Medicine and Pharmacy. History of the Faculty of Dentistry. The working day of a student - dentist. The birth of scientific dentistry in France. Pierre Fauchard. Teeth. Teeth structure. Types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teeth and their role. Dentition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Improper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teeth position can be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corrected. Dental anomalies. Tooth decay. Periodontal disease.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Gingivitis. The dental office. A v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the dentist. Oral hyg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iene. What to do to protect the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teeth? Toothpaste. Toothbrush. Vitamins. Workshop on specialized literature. Workshop on a video document. Dental studies in France. Dental art. Clinical examination in dentistry. At the dentist. Recommendations in case of tooth extraction. Cosmeti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dentistry. Atomic death. Workshop. Professio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nal diseas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in dentistry. Salivary calculi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, a rare and benign condition. Salivary lithiasis. Dental implants.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Hippocratic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oath. Medical ethics. Pregnancy and dental care. Dental hygiene and caries prevention. Internati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onal cooperation in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dentistry.</w:t>
            </w:r>
          </w:p>
        </w:tc>
      </w:tr>
      <w:tr w:rsidR="00CE4094" w:rsidRPr="00BF445D" w14:paraId="01167AB9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6AE0F69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Outcomes </w:t>
            </w:r>
          </w:p>
        </w:tc>
        <w:tc>
          <w:tcPr>
            <w:tcW w:w="6861" w:type="dxa"/>
            <w:gridSpan w:val="4"/>
          </w:tcPr>
          <w:p w14:paraId="7E91F68C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define in foreign language the general medical language and terminology particularities;</w:t>
            </w:r>
          </w:p>
          <w:p w14:paraId="40AC5D08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to identify the specialized symbols and the particularities of the medical language used in </w:t>
            </w:r>
            <w:r w:rsidR="0088501C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9E5A2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to use the authentic lexicon specialized in the current communication </w:t>
            </w:r>
            <w:r w:rsidR="00E84FF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professional activity;</w:t>
            </w:r>
          </w:p>
          <w:p w14:paraId="726B36A4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apply the training mechanisms and the specifics of a professional message or statement;</w:t>
            </w:r>
          </w:p>
          <w:p w14:paraId="161C13AA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define the grammatical structures characteristic of professional foreign language;</w:t>
            </w:r>
          </w:p>
          <w:p w14:paraId="4E2B0B64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identify the medical language used in medicine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further language and communication skills (oral and written expression);</w:t>
            </w:r>
          </w:p>
          <w:p w14:paraId="6460E2BA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to formulate basic principles and notions in </w:t>
            </w:r>
            <w:r w:rsidR="00E84FF3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necessary </w:t>
            </w:r>
            <w:r w:rsidR="00E84F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the subsequent collaboration and participation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international conferences/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projects;</w:t>
            </w:r>
          </w:p>
          <w:p w14:paraId="73E6ECE2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interpret ideas, projects, processes, theoretical and practical contents of the discipline;</w:t>
            </w:r>
          </w:p>
          <w:p w14:paraId="7D1A88D8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to apply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indicative (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cursive (content comprehension of a specialized text), selective (synthesis of information) and total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comprehension of the content of the text) reading skills;</w:t>
            </w:r>
          </w:p>
          <w:p w14:paraId="7E00B249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reproduce the specialized text in the foreign language;</w:t>
            </w:r>
          </w:p>
          <w:p w14:paraId="7BC4A968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use the translation of texts, articles, documents in foreign language;</w:t>
            </w:r>
          </w:p>
          <w:p w14:paraId="42A3E39B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develop selection, synthesis and summary skills;</w:t>
            </w:r>
          </w:p>
          <w:p w14:paraId="245F8FA5" w14:textId="77777777" w:rsidR="00CE4094" w:rsidRPr="00BF445D" w:rsidRDefault="009E7427" w:rsidP="007168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to develop communication skills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order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to initiate discussions, dialogues, thematic debates in professional situations;</w:t>
            </w:r>
          </w:p>
        </w:tc>
      </w:tr>
      <w:tr w:rsidR="00CE4094" w:rsidRPr="00BF445D" w14:paraId="2DE6D17F" w14:textId="77777777" w:rsidTr="00621B81">
        <w:tc>
          <w:tcPr>
            <w:tcW w:w="2484" w:type="dxa"/>
          </w:tcPr>
          <w:p w14:paraId="566EAD26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skills</w:t>
            </w:r>
          </w:p>
        </w:tc>
        <w:tc>
          <w:tcPr>
            <w:tcW w:w="6861" w:type="dxa"/>
            <w:gridSpan w:val="4"/>
          </w:tcPr>
          <w:p w14:paraId="6EF56F82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analyze and synthesize information from authentic sources and present it in oral or written form;</w:t>
            </w:r>
          </w:p>
          <w:p w14:paraId="58C3B853" w14:textId="77777777" w:rsidR="009E7427" w:rsidRPr="00680AA2" w:rsidRDefault="009E7427" w:rsidP="0071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• to use knowledge and communication skills in a professional environment, using </w:t>
            </w:r>
            <w:r w:rsidR="00E84FF3">
              <w:rPr>
                <w:rFonts w:ascii="Times New Roman" w:hAnsi="Times New Roman" w:cs="Times New Roman"/>
                <w:sz w:val="24"/>
                <w:szCs w:val="24"/>
              </w:rPr>
              <w:t>medicinal</w:t>
            </w:r>
            <w:r w:rsidR="00E84FF3"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topics in order to promote an intercultural and interdisciplinary dialogue;</w:t>
            </w:r>
          </w:p>
          <w:p w14:paraId="678329C8" w14:textId="77777777" w:rsidR="00CE4094" w:rsidRPr="00BF445D" w:rsidRDefault="009E7427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• to implement the knowl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edge acquired in the research/ed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activity of some specialty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works in the foreign language.</w:t>
            </w:r>
          </w:p>
        </w:tc>
      </w:tr>
      <w:tr w:rsidR="00CE4094" w:rsidRPr="00BF445D" w14:paraId="2527BF71" w14:textId="77777777" w:rsidTr="00BC5E4B">
        <w:trPr>
          <w:trHeight w:val="301"/>
        </w:trPr>
        <w:tc>
          <w:tcPr>
            <w:tcW w:w="2484" w:type="dxa"/>
            <w:shd w:val="clear" w:color="auto" w:fill="DBE5F1" w:themeFill="accent1" w:themeFillTint="33"/>
          </w:tcPr>
          <w:p w14:paraId="0AFFC7F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form</w:t>
            </w:r>
          </w:p>
        </w:tc>
        <w:tc>
          <w:tcPr>
            <w:tcW w:w="6861" w:type="dxa"/>
            <w:gridSpan w:val="4"/>
          </w:tcPr>
          <w:p w14:paraId="11A5EAA7" w14:textId="30DD850D" w:rsidR="00CE4094" w:rsidRPr="00BF445D" w:rsidRDefault="002B54F3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51B7" w:rsidRPr="00F051B7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olloquium</w:t>
            </w:r>
            <w:r w:rsidR="00F051B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>xam</w:t>
            </w:r>
          </w:p>
        </w:tc>
      </w:tr>
    </w:tbl>
    <w:p w14:paraId="00E8236D" w14:textId="77777777" w:rsidR="00CE4094" w:rsidRPr="00BF445D" w:rsidRDefault="00CE4094" w:rsidP="00CE4094"/>
    <w:p w14:paraId="64A3CA1D" w14:textId="77777777" w:rsidR="00CE4094" w:rsidRPr="00BF445D" w:rsidRDefault="00CE4094" w:rsidP="00CE4094"/>
    <w:p w14:paraId="7A8D993E" w14:textId="77777777" w:rsidR="00CE4094" w:rsidRPr="00BF445D" w:rsidRDefault="00CE4094" w:rsidP="00CE4094"/>
    <w:p w14:paraId="253CDB9B" w14:textId="77777777" w:rsidR="009075D2" w:rsidRDefault="009075D2"/>
    <w:sectPr w:rsidR="009075D2" w:rsidSect="0090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094"/>
    <w:rsid w:val="000136A8"/>
    <w:rsid w:val="00066130"/>
    <w:rsid w:val="00070061"/>
    <w:rsid w:val="000A5FE8"/>
    <w:rsid w:val="000B3CF0"/>
    <w:rsid w:val="000C63CA"/>
    <w:rsid w:val="001B149F"/>
    <w:rsid w:val="001B1F26"/>
    <w:rsid w:val="001C7058"/>
    <w:rsid w:val="001E4035"/>
    <w:rsid w:val="002B54F3"/>
    <w:rsid w:val="003228AE"/>
    <w:rsid w:val="0032648D"/>
    <w:rsid w:val="003520F1"/>
    <w:rsid w:val="0039018E"/>
    <w:rsid w:val="004105BF"/>
    <w:rsid w:val="004332A9"/>
    <w:rsid w:val="004A16D2"/>
    <w:rsid w:val="004A5F34"/>
    <w:rsid w:val="00527A41"/>
    <w:rsid w:val="00574DC7"/>
    <w:rsid w:val="0064590E"/>
    <w:rsid w:val="00660270"/>
    <w:rsid w:val="0068302F"/>
    <w:rsid w:val="00685537"/>
    <w:rsid w:val="00706510"/>
    <w:rsid w:val="007168B3"/>
    <w:rsid w:val="00723164"/>
    <w:rsid w:val="007379A9"/>
    <w:rsid w:val="007873C2"/>
    <w:rsid w:val="00867DF4"/>
    <w:rsid w:val="0088501C"/>
    <w:rsid w:val="009075D2"/>
    <w:rsid w:val="009E7427"/>
    <w:rsid w:val="00A06996"/>
    <w:rsid w:val="00B17816"/>
    <w:rsid w:val="00B221B0"/>
    <w:rsid w:val="00B37FE6"/>
    <w:rsid w:val="00B86A52"/>
    <w:rsid w:val="00BC5E4B"/>
    <w:rsid w:val="00CD65D9"/>
    <w:rsid w:val="00CE4094"/>
    <w:rsid w:val="00D776A8"/>
    <w:rsid w:val="00D915C1"/>
    <w:rsid w:val="00E84FF3"/>
    <w:rsid w:val="00ED4497"/>
    <w:rsid w:val="00EF77D1"/>
    <w:rsid w:val="00F051B7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C7ED"/>
  <w15:docId w15:val="{0129B3C1-A8A0-4F8E-90A1-6E1603F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9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5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2021-09-06T06:54:00Z</dcterms:created>
  <dcterms:modified xsi:type="dcterms:W3CDTF">2022-09-12T12:08:00Z</dcterms:modified>
</cp:coreProperties>
</file>