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99ED" w14:textId="77777777"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90"/>
        <w:gridCol w:w="1232"/>
        <w:gridCol w:w="3119"/>
        <w:gridCol w:w="1041"/>
      </w:tblGrid>
      <w:tr w:rsidR="000B7EA4" w:rsidRPr="00E22DE3" w14:paraId="3ACB757B" w14:textId="77777777" w:rsidTr="00163F52">
        <w:trPr>
          <w:trHeight w:val="278"/>
        </w:trPr>
        <w:tc>
          <w:tcPr>
            <w:tcW w:w="2689" w:type="dxa"/>
            <w:shd w:val="clear" w:color="auto" w:fill="DEEAF6" w:themeFill="accent1" w:themeFillTint="33"/>
          </w:tcPr>
          <w:p w14:paraId="6E290E48" w14:textId="77777777" w:rsidR="000B7EA4" w:rsidRPr="000C67F5" w:rsidRDefault="000B7EA4" w:rsidP="00163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disciplinei</w:t>
            </w:r>
            <w:r w:rsidR="00335FF9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82" w:type="dxa"/>
            <w:gridSpan w:val="4"/>
          </w:tcPr>
          <w:p w14:paraId="3815E3A8" w14:textId="6AED745D" w:rsidR="000B7EA4" w:rsidRPr="00937FCD" w:rsidRDefault="00335FF9" w:rsidP="00163F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937F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Limba engleză</w:t>
            </w:r>
            <w:r w:rsidR="00452E79" w:rsidRPr="00937F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/</w:t>
            </w:r>
            <w:r w:rsidRPr="00937F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franceză. Facultatea Stomatologie </w:t>
            </w:r>
          </w:p>
        </w:tc>
      </w:tr>
      <w:tr w:rsidR="00163F52" w:rsidRPr="00E22DE3" w14:paraId="3C03FAEF" w14:textId="77777777" w:rsidTr="00163F52">
        <w:trPr>
          <w:trHeight w:val="390"/>
        </w:trPr>
        <w:tc>
          <w:tcPr>
            <w:tcW w:w="2689" w:type="dxa"/>
            <w:shd w:val="clear" w:color="auto" w:fill="DEEAF6" w:themeFill="accent1" w:themeFillTint="33"/>
          </w:tcPr>
          <w:p w14:paraId="2A66B42B" w14:textId="77777777" w:rsidR="00163F52" w:rsidRPr="000C67F5" w:rsidRDefault="00163F52" w:rsidP="00163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</w:t>
            </w:r>
          </w:p>
        </w:tc>
        <w:tc>
          <w:tcPr>
            <w:tcW w:w="2522" w:type="dxa"/>
            <w:gridSpan w:val="2"/>
          </w:tcPr>
          <w:p w14:paraId="411AB036" w14:textId="77777777" w:rsidR="00163F52" w:rsidRPr="000C67F5" w:rsidRDefault="00163F52" w:rsidP="00163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Obligatoriu</w:t>
            </w:r>
          </w:p>
        </w:tc>
        <w:tc>
          <w:tcPr>
            <w:tcW w:w="3119" w:type="dxa"/>
          </w:tcPr>
          <w:p w14:paraId="37E6D23F" w14:textId="77777777" w:rsidR="00163F52" w:rsidRPr="000C67F5" w:rsidRDefault="00163F52" w:rsidP="00163F5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Credite</w:t>
            </w:r>
          </w:p>
        </w:tc>
        <w:tc>
          <w:tcPr>
            <w:tcW w:w="1041" w:type="dxa"/>
          </w:tcPr>
          <w:p w14:paraId="2D1C916E" w14:textId="507AD097" w:rsidR="00163F52" w:rsidRPr="000C67F5" w:rsidRDefault="00BC0C41" w:rsidP="00163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163F52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r w:rsidR="00B9641A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163F52" w:rsidRPr="00086B9E" w14:paraId="2185A79E" w14:textId="77777777" w:rsidTr="00163F52">
        <w:tc>
          <w:tcPr>
            <w:tcW w:w="2689" w:type="dxa"/>
          </w:tcPr>
          <w:p w14:paraId="7FBE71B8" w14:textId="77777777" w:rsidR="00163F52" w:rsidRPr="000C67F5" w:rsidRDefault="00163F52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2522" w:type="dxa"/>
            <w:gridSpan w:val="2"/>
          </w:tcPr>
          <w:p w14:paraId="481DAA50" w14:textId="77777777" w:rsidR="00163F52" w:rsidRPr="000C67F5" w:rsidRDefault="00163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119" w:type="dxa"/>
          </w:tcPr>
          <w:p w14:paraId="351B8C51" w14:textId="77777777" w:rsidR="00163F52" w:rsidRPr="000C67F5" w:rsidRDefault="00163F52" w:rsidP="00163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Semestrele</w:t>
            </w:r>
          </w:p>
        </w:tc>
        <w:tc>
          <w:tcPr>
            <w:tcW w:w="1041" w:type="dxa"/>
          </w:tcPr>
          <w:p w14:paraId="7CE2BD50" w14:textId="77777777" w:rsidR="00163F52" w:rsidRPr="000C67F5" w:rsidRDefault="00B9641A" w:rsidP="00163F52">
            <w:pPr>
              <w:ind w:left="11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I-II</w:t>
            </w:r>
          </w:p>
        </w:tc>
      </w:tr>
      <w:tr w:rsidR="00163F52" w:rsidRPr="00086B9E" w14:paraId="786DB476" w14:textId="77777777" w:rsidTr="00163F52">
        <w:trPr>
          <w:trHeight w:val="270"/>
        </w:trPr>
        <w:tc>
          <w:tcPr>
            <w:tcW w:w="2689" w:type="dxa"/>
            <w:vMerge w:val="restart"/>
          </w:tcPr>
          <w:p w14:paraId="1F7C0E20" w14:textId="77777777" w:rsidR="00163F52" w:rsidRPr="000C67F5" w:rsidRDefault="00163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ore</w:t>
            </w:r>
          </w:p>
        </w:tc>
        <w:tc>
          <w:tcPr>
            <w:tcW w:w="1290" w:type="dxa"/>
          </w:tcPr>
          <w:p w14:paraId="75369E2A" w14:textId="77777777" w:rsidR="00163F52" w:rsidRPr="000C67F5" w:rsidRDefault="00163F52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</w:t>
            </w:r>
          </w:p>
        </w:tc>
        <w:tc>
          <w:tcPr>
            <w:tcW w:w="1232" w:type="dxa"/>
          </w:tcPr>
          <w:p w14:paraId="4B5EA878" w14:textId="77777777" w:rsidR="00163F52" w:rsidRPr="000C67F5" w:rsidRDefault="00163F52" w:rsidP="00163F52">
            <w:pPr>
              <w:ind w:left="19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0971DD23" w14:textId="77777777" w:rsidR="00163F52" w:rsidRPr="000C67F5" w:rsidRDefault="00163F52" w:rsidP="00163F5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practice/de laborator</w:t>
            </w:r>
          </w:p>
        </w:tc>
        <w:tc>
          <w:tcPr>
            <w:tcW w:w="1041" w:type="dxa"/>
          </w:tcPr>
          <w:p w14:paraId="703D3D83" w14:textId="77777777" w:rsidR="00163F52" w:rsidRPr="000C67F5" w:rsidRDefault="00163F52" w:rsidP="00163F52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63F52" w:rsidRPr="00086B9E" w14:paraId="4BA73251" w14:textId="77777777" w:rsidTr="00163F52">
        <w:trPr>
          <w:trHeight w:val="285"/>
        </w:trPr>
        <w:tc>
          <w:tcPr>
            <w:tcW w:w="2689" w:type="dxa"/>
            <w:vMerge/>
          </w:tcPr>
          <w:p w14:paraId="23B10609" w14:textId="77777777" w:rsidR="00163F52" w:rsidRPr="000C67F5" w:rsidRDefault="00163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0" w:type="dxa"/>
          </w:tcPr>
          <w:p w14:paraId="594141CA" w14:textId="77777777" w:rsidR="00163F52" w:rsidRPr="000C67F5" w:rsidRDefault="00163F52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Seminare</w:t>
            </w:r>
          </w:p>
        </w:tc>
        <w:tc>
          <w:tcPr>
            <w:tcW w:w="1232" w:type="dxa"/>
          </w:tcPr>
          <w:p w14:paraId="3785B6E7" w14:textId="547C3C1D" w:rsidR="00163F52" w:rsidRPr="000C67F5" w:rsidRDefault="00163F52" w:rsidP="00163F52">
            <w:pPr>
              <w:ind w:left="19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BC0C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/6</w:t>
            </w:r>
            <w:r w:rsidR="00BC0C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119" w:type="dxa"/>
          </w:tcPr>
          <w:p w14:paraId="1FC69190" w14:textId="77777777" w:rsidR="00163F52" w:rsidRPr="000C67F5" w:rsidRDefault="00163F52" w:rsidP="00163F5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individual</w:t>
            </w:r>
          </w:p>
        </w:tc>
        <w:tc>
          <w:tcPr>
            <w:tcW w:w="1041" w:type="dxa"/>
          </w:tcPr>
          <w:p w14:paraId="1FCB0C65" w14:textId="6A920A28" w:rsidR="00163F52" w:rsidRPr="000C67F5" w:rsidRDefault="00BC0C41" w:rsidP="00163F52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  <w:r w:rsidR="00163F52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0B7EA4" w:rsidRPr="00086B9E" w14:paraId="53AC6ED8" w14:textId="77777777" w:rsidTr="00163F52">
        <w:tc>
          <w:tcPr>
            <w:tcW w:w="2689" w:type="dxa"/>
          </w:tcPr>
          <w:p w14:paraId="68422D08" w14:textId="77777777" w:rsidR="000B7EA4" w:rsidRPr="000C67F5" w:rsidRDefault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Componenta</w:t>
            </w:r>
          </w:p>
        </w:tc>
        <w:tc>
          <w:tcPr>
            <w:tcW w:w="6682" w:type="dxa"/>
            <w:gridSpan w:val="4"/>
          </w:tcPr>
          <w:p w14:paraId="4DC6836B" w14:textId="77777777" w:rsidR="000B7EA4" w:rsidRPr="000C67F5" w:rsidRDefault="005358D6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Orientare</w:t>
            </w:r>
            <w:r w:rsidR="000B7EA4" w:rsidRPr="000C67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socio-umană</w:t>
            </w:r>
          </w:p>
        </w:tc>
      </w:tr>
      <w:tr w:rsidR="000B7EA4" w:rsidRPr="00086B9E" w14:paraId="326A5EC1" w14:textId="77777777" w:rsidTr="00163F52">
        <w:tc>
          <w:tcPr>
            <w:tcW w:w="2689" w:type="dxa"/>
          </w:tcPr>
          <w:p w14:paraId="19253F8B" w14:textId="77777777" w:rsidR="000B7EA4" w:rsidRPr="000C67F5" w:rsidRDefault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682" w:type="dxa"/>
            <w:gridSpan w:val="4"/>
          </w:tcPr>
          <w:p w14:paraId="450380A0" w14:textId="58C81759" w:rsidR="008D4D58" w:rsidRPr="000C67F5" w:rsidRDefault="008D4D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4D5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Daniela Eșanu-Dumnazev, conf univ., Liliana Panciuc, asist. univ., Natalia Doronin, asist. univ.,</w:t>
            </w:r>
          </w:p>
        </w:tc>
      </w:tr>
      <w:tr w:rsidR="000B7EA4" w:rsidRPr="00B842C1" w14:paraId="2B6D01C3" w14:textId="77777777" w:rsidTr="00163F52">
        <w:tc>
          <w:tcPr>
            <w:tcW w:w="2689" w:type="dxa"/>
          </w:tcPr>
          <w:p w14:paraId="35C1E9C8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682" w:type="dxa"/>
            <w:gridSpan w:val="4"/>
          </w:tcPr>
          <w:p w14:paraId="6B326510" w14:textId="77777777" w:rsidR="00B842C1" w:rsidRPr="000C67F5" w:rsidRDefault="00B842C1" w:rsidP="00B84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Blocul didactic nr. 3,</w:t>
            </w:r>
          </w:p>
          <w:p w14:paraId="075BF4A0" w14:textId="77777777" w:rsidR="00B842C1" w:rsidRPr="000C67F5" w:rsidRDefault="00B842C1" w:rsidP="00B84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Ştefan cel Mare şi Sfânt, 194A,</w:t>
            </w:r>
          </w:p>
          <w:p w14:paraId="6DC4617C" w14:textId="77777777" w:rsidR="00B842C1" w:rsidRPr="000C67F5" w:rsidRDefault="00B842C1" w:rsidP="00B84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MD-2004,Republica Moldova</w:t>
            </w:r>
          </w:p>
          <w:p w14:paraId="21DCB734" w14:textId="77777777" w:rsidR="000B7EA4" w:rsidRPr="000C67F5" w:rsidRDefault="00B842C1" w:rsidP="00B84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(+373) 22 205 204</w:t>
            </w:r>
          </w:p>
        </w:tc>
      </w:tr>
      <w:tr w:rsidR="000B7EA4" w:rsidRPr="005358D6" w14:paraId="7DBEEFC4" w14:textId="77777777" w:rsidTr="00163F52">
        <w:tc>
          <w:tcPr>
            <w:tcW w:w="2689" w:type="dxa"/>
            <w:vMerge w:val="restart"/>
          </w:tcPr>
          <w:p w14:paraId="0FE94E57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  <w:p w14:paraId="046F1170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2" w:type="dxa"/>
            <w:gridSpan w:val="4"/>
          </w:tcPr>
          <w:p w14:paraId="33FCA126" w14:textId="77777777" w:rsidR="000B7EA4" w:rsidRPr="000C67F5" w:rsidRDefault="00B84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Studierea limbilor străine de specialitate prevăd nivelul minim A2-B</w:t>
            </w:r>
            <w:r w:rsidR="000C67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1 de cunoașt</w:t>
            </w:r>
            <w:r w:rsidR="005358D6" w:rsidRPr="000C67F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ere a limbilor străine conform CECRL. </w:t>
            </w:r>
          </w:p>
        </w:tc>
      </w:tr>
      <w:tr w:rsidR="000B7EA4" w:rsidRPr="00E22DE3" w14:paraId="1EB60B40" w14:textId="77777777" w:rsidTr="00163F52">
        <w:tc>
          <w:tcPr>
            <w:tcW w:w="2689" w:type="dxa"/>
            <w:vMerge/>
          </w:tcPr>
          <w:p w14:paraId="21011E8D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36"/>
                <w:szCs w:val="24"/>
                <w:lang w:val="ro-RO"/>
              </w:rPr>
            </w:pPr>
          </w:p>
        </w:tc>
        <w:tc>
          <w:tcPr>
            <w:tcW w:w="6682" w:type="dxa"/>
            <w:gridSpan w:val="4"/>
          </w:tcPr>
          <w:p w14:paraId="42FDD3E0" w14:textId="3216214D" w:rsidR="000B7EA4" w:rsidRPr="000C67F5" w:rsidRDefault="000C67F5" w:rsidP="00121550">
            <w:pPr>
              <w:pStyle w:val="BodyTextIndent"/>
              <w:ind w:firstLine="0"/>
              <w:jc w:val="both"/>
              <w:rPr>
                <w:b/>
                <w:szCs w:val="24"/>
              </w:rPr>
            </w:pPr>
            <w:r>
              <w:rPr>
                <w:iCs/>
                <w:szCs w:val="24"/>
              </w:rPr>
              <w:t>Nivelul minim A2-B1 de cunoașt</w:t>
            </w:r>
            <w:r w:rsidR="00121550" w:rsidRPr="000C67F5">
              <w:rPr>
                <w:iCs/>
                <w:szCs w:val="24"/>
              </w:rPr>
              <w:t>ere a limbilor străine conform CECRL;</w:t>
            </w:r>
            <w:r w:rsidR="00121550" w:rsidRPr="000C67F5">
              <w:rPr>
                <w:szCs w:val="24"/>
              </w:rPr>
              <w:t xml:space="preserve"> </w:t>
            </w:r>
            <w:r w:rsidR="005358D6" w:rsidRPr="000C67F5">
              <w:rPr>
                <w:szCs w:val="24"/>
              </w:rPr>
              <w:t xml:space="preserve"> competențe di</w:t>
            </w:r>
            <w:r w:rsidR="00F32F84" w:rsidRPr="000C67F5">
              <w:rPr>
                <w:szCs w:val="24"/>
              </w:rPr>
              <w:t>gitale</w:t>
            </w:r>
            <w:r w:rsidR="005358D6" w:rsidRPr="000C67F5">
              <w:rPr>
                <w:szCs w:val="24"/>
              </w:rPr>
              <w:t>;</w:t>
            </w:r>
            <w:r w:rsidR="00121550" w:rsidRPr="000C67F5">
              <w:rPr>
                <w:b/>
                <w:szCs w:val="24"/>
              </w:rPr>
              <w:t xml:space="preserve"> </w:t>
            </w:r>
            <w:r w:rsidR="005358D6" w:rsidRPr="000C67F5">
              <w:rPr>
                <w:szCs w:val="24"/>
              </w:rPr>
              <w:t>abilitatea de comunicare și de lucru în echipă;</w:t>
            </w:r>
          </w:p>
        </w:tc>
      </w:tr>
      <w:tr w:rsidR="000B7EA4" w:rsidRPr="00E22DE3" w14:paraId="0C89C77F" w14:textId="77777777" w:rsidTr="00163F52">
        <w:tc>
          <w:tcPr>
            <w:tcW w:w="2689" w:type="dxa"/>
            <w:shd w:val="clear" w:color="auto" w:fill="DEEAF6" w:themeFill="accent1" w:themeFillTint="33"/>
          </w:tcPr>
          <w:p w14:paraId="48DA45AE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682" w:type="dxa"/>
            <w:gridSpan w:val="4"/>
          </w:tcPr>
          <w:p w14:paraId="78AFFD39" w14:textId="77777777" w:rsidR="00E237D8" w:rsidRPr="000C67F5" w:rsidRDefault="00E237D8" w:rsidP="00E23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Disciplina </w:t>
            </w:r>
            <w:r w:rsidRPr="000C67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Limbi moderne (limbaj terminologic)</w:t>
            </w:r>
            <w:r w:rsidRPr="000C67F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 este un curs practic, destinat studenților pentru aplicarea practică și utilizarea activă în instruirea și activitatea profesională. Cursul de  </w:t>
            </w:r>
            <w:r w:rsidR="00F32F84" w:rsidRPr="000C67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Limbi moderne (</w:t>
            </w:r>
            <w:r w:rsidRPr="000C67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limbaj terminologic) </w:t>
            </w:r>
            <w:r w:rsidRPr="000C67F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este</w:t>
            </w:r>
            <w:r w:rsidRPr="000C67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0C67F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orientat spre formarea competențelor lingvistice stabilite de Cadrul European Comun de Referință pentru Limbi /CECRL/. Cursul de  </w:t>
            </w:r>
            <w:r w:rsidRPr="000C67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Limbi moderne (limbaj terminologic)</w:t>
            </w:r>
            <w:r w:rsidRPr="000C67F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vizează însușirea limbajului terminologic medical esențial, formând studenților competențe lingvistice solide, necesare mobilității academice, integrării interculturale și profesionale. </w:t>
            </w:r>
          </w:p>
          <w:p w14:paraId="163F115D" w14:textId="32C16CA8" w:rsidR="000B7EA4" w:rsidRPr="00BC0C41" w:rsidRDefault="00E237D8" w:rsidP="00BC0C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Orientarea formativă a învățământului universitar și formarea profesională a studenților sunt un cadru de referință a sistemului de formare profesională a specialiștilor în domeniul sănătății publice pentru comunicarea în limba străină, pentru facilitarea comunicării în spațiul internațional, pentru cooperarea în domeniul sănătății publice și  pentru a deveni competitivi pe piața muncii.</w:t>
            </w:r>
          </w:p>
        </w:tc>
      </w:tr>
      <w:tr w:rsidR="000B7EA4" w:rsidRPr="00277D62" w14:paraId="4DBD59EB" w14:textId="77777777" w:rsidTr="00163F52">
        <w:tc>
          <w:tcPr>
            <w:tcW w:w="2689" w:type="dxa"/>
          </w:tcPr>
          <w:p w14:paraId="1CB71B25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  <w:p w14:paraId="37992346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36"/>
                <w:szCs w:val="24"/>
                <w:lang w:val="ro-RO"/>
              </w:rPr>
            </w:pPr>
          </w:p>
        </w:tc>
        <w:tc>
          <w:tcPr>
            <w:tcW w:w="6682" w:type="dxa"/>
            <w:gridSpan w:val="4"/>
          </w:tcPr>
          <w:p w14:paraId="08EAFD30" w14:textId="77777777" w:rsidR="000C67F5" w:rsidRPr="000C67F5" w:rsidRDefault="00013F49" w:rsidP="006648AA">
            <w:pPr>
              <w:pStyle w:val="Default"/>
              <w:jc w:val="both"/>
            </w:pPr>
            <w:r w:rsidRPr="00013F49">
              <w:rPr>
                <w:b/>
                <w:sz w:val="23"/>
                <w:szCs w:val="23"/>
              </w:rPr>
              <w:t xml:space="preserve">Engleză. </w:t>
            </w:r>
            <w:r w:rsidR="00B9641A" w:rsidRPr="000C67F5">
              <w:rPr>
                <w:sz w:val="23"/>
                <w:szCs w:val="23"/>
              </w:rPr>
              <w:t>USMF ” N. Testemiţanu ”. Nicolae Тestemiţanu</w:t>
            </w:r>
            <w:r w:rsidR="000C67F5">
              <w:rPr>
                <w:sz w:val="23"/>
                <w:szCs w:val="23"/>
              </w:rPr>
              <w:t xml:space="preserve"> </w:t>
            </w:r>
            <w:r w:rsidR="00B9641A" w:rsidRPr="000C67F5">
              <w:rPr>
                <w:sz w:val="23"/>
                <w:szCs w:val="23"/>
              </w:rPr>
              <w:t xml:space="preserve">- personalitate marcantă în domeniul medicinii. </w:t>
            </w:r>
            <w:r w:rsidR="00E22DE3" w:rsidRPr="000C67F5">
              <w:t>Istoria  stomatologiei</w:t>
            </w:r>
            <w:r w:rsidR="00006DE3" w:rsidRPr="000C67F5">
              <w:t xml:space="preserve">. </w:t>
            </w:r>
            <w:r w:rsidR="00B9641A" w:rsidRPr="000C67F5">
              <w:rPr>
                <w:sz w:val="23"/>
                <w:szCs w:val="23"/>
              </w:rPr>
              <w:t xml:space="preserve">Jurământul lui Hipocrate.  Corpul uman. </w:t>
            </w:r>
            <w:r w:rsidR="00871038" w:rsidRPr="000C67F5">
              <w:t>Structura dinţilor</w:t>
            </w:r>
            <w:r w:rsidR="00006DE3" w:rsidRPr="000C67F5">
              <w:t xml:space="preserve">. </w:t>
            </w:r>
            <w:r w:rsidR="00871038" w:rsidRPr="000C67F5">
              <w:t>Dentiţia primară şi secundară. Suprafaţa dinţilor</w:t>
            </w:r>
            <w:r w:rsidR="00006DE3" w:rsidRPr="000C67F5">
              <w:t xml:space="preserve">. </w:t>
            </w:r>
            <w:r w:rsidR="00871038" w:rsidRPr="000C67F5">
              <w:t>Anatomia dinţilor individuali</w:t>
            </w:r>
            <w:r w:rsidR="00006DE3" w:rsidRPr="000C67F5">
              <w:t xml:space="preserve">. </w:t>
            </w:r>
            <w:r w:rsidR="00871038" w:rsidRPr="000C67F5">
              <w:t>Maxilarele.</w:t>
            </w:r>
            <w:r w:rsidR="00B9641A" w:rsidRPr="000C67F5">
              <w:t xml:space="preserve"> </w:t>
            </w:r>
            <w:r w:rsidR="00871038" w:rsidRPr="000C67F5">
              <w:t>Glandele salivare</w:t>
            </w:r>
            <w:r w:rsidR="00006DE3" w:rsidRPr="000C67F5">
              <w:t xml:space="preserve">. </w:t>
            </w:r>
            <w:r w:rsidR="00871038" w:rsidRPr="000C67F5">
              <w:t>Dinţii şi gingiile</w:t>
            </w:r>
            <w:r w:rsidR="00006DE3" w:rsidRPr="000C67F5">
              <w:t xml:space="preserve">. </w:t>
            </w:r>
            <w:r w:rsidR="00871038" w:rsidRPr="000C67F5">
              <w:t>Asistenţa stomatologică</w:t>
            </w:r>
            <w:r w:rsidR="00006DE3" w:rsidRPr="000C67F5">
              <w:t xml:space="preserve">. </w:t>
            </w:r>
            <w:r w:rsidR="00871038" w:rsidRPr="000C67F5">
              <w:t>Serviciile stomatologice în ţara noastră.</w:t>
            </w:r>
            <w:r w:rsidR="00B9641A" w:rsidRPr="000C67F5">
              <w:t xml:space="preserve"> </w:t>
            </w:r>
            <w:r w:rsidR="00871038" w:rsidRPr="000C67F5">
              <w:t>Educaţia stomatologică în SUA</w:t>
            </w:r>
            <w:r w:rsidR="00006DE3" w:rsidRPr="000C67F5">
              <w:t xml:space="preserve">. </w:t>
            </w:r>
            <w:r w:rsidR="00871038" w:rsidRPr="000C67F5">
              <w:t>Stomatologia preventivă</w:t>
            </w:r>
            <w:r w:rsidR="00006DE3" w:rsidRPr="000C67F5">
              <w:t xml:space="preserve">. </w:t>
            </w:r>
            <w:r w:rsidR="00B9641A" w:rsidRPr="000C67F5">
              <w:t>O v</w:t>
            </w:r>
            <w:r w:rsidR="00871038" w:rsidRPr="000C67F5">
              <w:t>izită la stomatolog</w:t>
            </w:r>
            <w:r w:rsidR="00006DE3" w:rsidRPr="000C67F5">
              <w:t xml:space="preserve">. </w:t>
            </w:r>
            <w:r w:rsidR="00871038" w:rsidRPr="000C67F5">
              <w:t>Echipa stomatologică</w:t>
            </w:r>
            <w:r w:rsidR="00006DE3" w:rsidRPr="000C67F5">
              <w:t xml:space="preserve">. </w:t>
            </w:r>
            <w:r w:rsidR="00277D62" w:rsidRPr="000C67F5">
              <w:t>Caria dentară</w:t>
            </w:r>
            <w:r w:rsidR="00006DE3" w:rsidRPr="000C67F5">
              <w:t xml:space="preserve">. </w:t>
            </w:r>
            <w:r w:rsidR="006648AA" w:rsidRPr="000C67F5">
              <w:t xml:space="preserve">Cauzele, efectele cariei. </w:t>
            </w:r>
            <w:r w:rsidR="006648AA" w:rsidRPr="000C67F5">
              <w:rPr>
                <w:sz w:val="23"/>
                <w:szCs w:val="23"/>
              </w:rPr>
              <w:t xml:space="preserve">Prevenirea şi tratarea cariei dentare. Obturaţiile ca tratament conservativ al cariei dentare. </w:t>
            </w:r>
            <w:r w:rsidR="00871038" w:rsidRPr="000C67F5">
              <w:t>Pulpita şi abcesul alveolar</w:t>
            </w:r>
            <w:r w:rsidR="00006DE3" w:rsidRPr="000C67F5">
              <w:t xml:space="preserve">. </w:t>
            </w:r>
            <w:r w:rsidR="00871038" w:rsidRPr="000C67F5">
              <w:t>Controlul salivei</w:t>
            </w:r>
            <w:r w:rsidR="00006DE3" w:rsidRPr="000C67F5">
              <w:t xml:space="preserve">. </w:t>
            </w:r>
            <w:r w:rsidR="00871038" w:rsidRPr="000C67F5">
              <w:t>Obturaţiile</w:t>
            </w:r>
            <w:r w:rsidR="00006DE3" w:rsidRPr="000C67F5">
              <w:t xml:space="preserve">. </w:t>
            </w:r>
            <w:r w:rsidR="006648AA" w:rsidRPr="000C67F5">
              <w:rPr>
                <w:sz w:val="23"/>
                <w:szCs w:val="23"/>
              </w:rPr>
              <w:t xml:space="preserve">Materialele obturative şi instrumentele stomatologice. </w:t>
            </w:r>
            <w:r w:rsidR="00871038" w:rsidRPr="000C67F5">
              <w:t>Instrumentele stomatologice. Piesele de mână. Frezele.</w:t>
            </w:r>
            <w:r w:rsidR="00006DE3" w:rsidRPr="000C67F5">
              <w:t xml:space="preserve"> </w:t>
            </w:r>
            <w:r w:rsidR="00871038" w:rsidRPr="000C67F5">
              <w:t>Endodonţia</w:t>
            </w:r>
            <w:r w:rsidR="00006DE3" w:rsidRPr="000C67F5">
              <w:t xml:space="preserve">. </w:t>
            </w:r>
            <w:r w:rsidR="00871038" w:rsidRPr="000C67F5">
              <w:t>Pulpotomia şi rezecţia apicală</w:t>
            </w:r>
            <w:r w:rsidR="00006DE3" w:rsidRPr="000C67F5">
              <w:t xml:space="preserve">. </w:t>
            </w:r>
            <w:r w:rsidR="00871038" w:rsidRPr="000C67F5">
              <w:t>Afecţiunea parodonţiului</w:t>
            </w:r>
            <w:r w:rsidR="00006DE3" w:rsidRPr="000C67F5">
              <w:t xml:space="preserve">. </w:t>
            </w:r>
            <w:r w:rsidR="00871038" w:rsidRPr="000C67F5">
              <w:t>Gingivita ulceroasă acută</w:t>
            </w:r>
            <w:r w:rsidR="00006DE3" w:rsidRPr="000C67F5">
              <w:t>.</w:t>
            </w:r>
            <w:r w:rsidR="006648AA" w:rsidRPr="000C67F5">
              <w:t xml:space="preserve"> </w:t>
            </w:r>
            <w:r w:rsidR="006648AA" w:rsidRPr="000C67F5">
              <w:rPr>
                <w:sz w:val="23"/>
                <w:szCs w:val="23"/>
              </w:rPr>
              <w:t xml:space="preserve">Serviciile de asistenţă stomatologică în Regatul Unit al Marii Britanii. </w:t>
            </w:r>
            <w:r w:rsidR="00871038" w:rsidRPr="000C67F5">
              <w:rPr>
                <w:spacing w:val="-4"/>
              </w:rPr>
              <w:t>Detartrajul și gingivectomia. Gingivectomia</w:t>
            </w:r>
            <w:r w:rsidR="00006DE3" w:rsidRPr="000C67F5">
              <w:t xml:space="preserve">. </w:t>
            </w:r>
            <w:r w:rsidR="00871038" w:rsidRPr="000C67F5">
              <w:t>Chirurgia orală</w:t>
            </w:r>
            <w:r w:rsidR="00006DE3" w:rsidRPr="000C67F5">
              <w:t xml:space="preserve">. </w:t>
            </w:r>
            <w:r w:rsidR="00677DC2" w:rsidRPr="000C67F5">
              <w:t>Terapia canalului radicular</w:t>
            </w:r>
            <w:r w:rsidR="00006DE3" w:rsidRPr="000C67F5">
              <w:t xml:space="preserve">. </w:t>
            </w:r>
            <w:r w:rsidR="00677DC2" w:rsidRPr="000C67F5">
              <w:t xml:space="preserve">Protetica. Efectele pierderii dinților. Etapele de </w:t>
            </w:r>
            <w:r w:rsidR="00677DC2" w:rsidRPr="000C67F5">
              <w:lastRenderedPageBreak/>
              <w:t>construcție a protezelor dentare</w:t>
            </w:r>
            <w:r w:rsidR="00006DE3" w:rsidRPr="000C67F5">
              <w:t xml:space="preserve">. </w:t>
            </w:r>
            <w:r w:rsidR="00AF4C90" w:rsidRPr="000C67F5">
              <w:t>Materialele amprentare. Compoziția</w:t>
            </w:r>
            <w:r w:rsidR="00006DE3" w:rsidRPr="000C67F5">
              <w:t xml:space="preserve">. </w:t>
            </w:r>
            <w:r w:rsidR="00277D62" w:rsidRPr="000C67F5">
              <w:t>Alginatul. Pasta de amprentare</w:t>
            </w:r>
            <w:r w:rsidR="00006DE3" w:rsidRPr="000C67F5">
              <w:t xml:space="preserve">. </w:t>
            </w:r>
            <w:r w:rsidR="00277D62" w:rsidRPr="000C67F5">
              <w:t>Etapa de luare a ocluziei. Etapa de probare. Etapa de ajustare</w:t>
            </w:r>
            <w:r w:rsidR="00006DE3" w:rsidRPr="000C67F5">
              <w:t xml:space="preserve">. </w:t>
            </w:r>
            <w:r w:rsidR="00277D62" w:rsidRPr="000C67F5">
              <w:t>Ortodonția</w:t>
            </w:r>
            <w:r w:rsidR="00006DE3" w:rsidRPr="000C67F5">
              <w:t xml:space="preserve">. </w:t>
            </w:r>
            <w:r w:rsidR="00277D62" w:rsidRPr="000C67F5">
              <w:t>Cauzele malocluziei. Tratamentul malocluziei</w:t>
            </w:r>
            <w:r w:rsidR="00006DE3" w:rsidRPr="000C67F5">
              <w:t xml:space="preserve">. </w:t>
            </w:r>
            <w:r w:rsidR="006648AA" w:rsidRPr="000C67F5">
              <w:rPr>
                <w:sz w:val="23"/>
                <w:szCs w:val="23"/>
              </w:rPr>
              <w:t>Ortodonția. Obiceiurile orale-cauză a malocluziei</w:t>
            </w:r>
            <w:r w:rsidR="000C67F5" w:rsidRPr="000C67F5">
              <w:rPr>
                <w:sz w:val="23"/>
                <w:szCs w:val="23"/>
              </w:rPr>
              <w:t>.</w:t>
            </w:r>
            <w:r w:rsidR="000C67F5" w:rsidRPr="000C67F5">
              <w:t xml:space="preserve"> </w:t>
            </w:r>
            <w:r w:rsidR="006648AA" w:rsidRPr="000C67F5">
              <w:rPr>
                <w:sz w:val="23"/>
                <w:szCs w:val="23"/>
              </w:rPr>
              <w:t>Modelele. Atelele temporale</w:t>
            </w:r>
            <w:r w:rsidR="000C67F5" w:rsidRPr="000C67F5">
              <w:rPr>
                <w:sz w:val="23"/>
                <w:szCs w:val="23"/>
              </w:rPr>
              <w:t xml:space="preserve">. </w:t>
            </w:r>
            <w:r w:rsidR="00277D62" w:rsidRPr="000C67F5">
              <w:t>Coronița dentară. Tratamentul supraocluziei profunde</w:t>
            </w:r>
            <w:r w:rsidR="00006DE3" w:rsidRPr="000C67F5">
              <w:t xml:space="preserve">. </w:t>
            </w:r>
            <w:r w:rsidR="00277D62" w:rsidRPr="000C67F5">
              <w:t>Protezele parțiale fixe</w:t>
            </w:r>
            <w:r w:rsidR="00006DE3" w:rsidRPr="000C67F5">
              <w:t xml:space="preserve">. </w:t>
            </w:r>
            <w:r w:rsidR="00277D62" w:rsidRPr="000C67F5">
              <w:t>Radiografia- un adjuvant diagnostic</w:t>
            </w:r>
            <w:r w:rsidR="00006DE3" w:rsidRPr="000C67F5">
              <w:t xml:space="preserve">. </w:t>
            </w:r>
            <w:r w:rsidR="00277D62" w:rsidRPr="000C67F5">
              <w:t>Sursele de sepsis oral</w:t>
            </w:r>
            <w:r w:rsidR="00006DE3" w:rsidRPr="000C67F5">
              <w:t xml:space="preserve">. </w:t>
            </w:r>
            <w:r w:rsidR="00277D62" w:rsidRPr="000C67F5">
              <w:t>Piorea alveolară</w:t>
            </w:r>
            <w:r w:rsidR="00006DE3" w:rsidRPr="000C67F5">
              <w:t xml:space="preserve">. </w:t>
            </w:r>
            <w:r w:rsidR="006648AA" w:rsidRPr="000C67F5">
              <w:rPr>
                <w:sz w:val="23"/>
                <w:szCs w:val="23"/>
              </w:rPr>
              <w:t>Starea de sănătate fizică care afectează</w:t>
            </w:r>
            <w:r w:rsidR="0025529E">
              <w:rPr>
                <w:sz w:val="23"/>
                <w:szCs w:val="23"/>
              </w:rPr>
              <w:t xml:space="preserve"> te</w:t>
            </w:r>
            <w:r w:rsidR="006648AA" w:rsidRPr="000C67F5">
              <w:rPr>
                <w:sz w:val="23"/>
                <w:szCs w:val="23"/>
              </w:rPr>
              <w:t xml:space="preserve">rapia parodontală </w:t>
            </w:r>
          </w:p>
          <w:p w14:paraId="39FFDC3A" w14:textId="77777777" w:rsidR="000C67F5" w:rsidRPr="000C67F5" w:rsidRDefault="000C67F5" w:rsidP="00B9641A">
            <w:pPr>
              <w:pStyle w:val="Default"/>
              <w:jc w:val="both"/>
              <w:rPr>
                <w:sz w:val="23"/>
                <w:szCs w:val="23"/>
              </w:rPr>
            </w:pPr>
            <w:r w:rsidRPr="000C67F5">
              <w:rPr>
                <w:sz w:val="23"/>
                <w:szCs w:val="23"/>
              </w:rPr>
              <w:t xml:space="preserve">Afectarea pulpei. </w:t>
            </w:r>
            <w:r w:rsidR="00277D62" w:rsidRPr="000C67F5">
              <w:t>Leziunile traumatice ale dinților</w:t>
            </w:r>
            <w:r w:rsidR="00006DE3" w:rsidRPr="000C67F5">
              <w:t xml:space="preserve">. </w:t>
            </w:r>
            <w:r w:rsidR="00277D62" w:rsidRPr="000C67F5">
              <w:t>Bolile traumatice ale maxilarelor</w:t>
            </w:r>
            <w:r w:rsidR="00006DE3" w:rsidRPr="000C67F5">
              <w:t xml:space="preserve">. </w:t>
            </w:r>
            <w:r w:rsidR="00277D62" w:rsidRPr="000C67F5">
              <w:t>Pierderea țesutului. Mijloace de restaurare. Alegerea metodei. Rezecția oaselor maxilarului și înlocuirea lor</w:t>
            </w:r>
            <w:r w:rsidR="00006DE3" w:rsidRPr="000C67F5">
              <w:t xml:space="preserve">. </w:t>
            </w:r>
            <w:r w:rsidR="00277D62" w:rsidRPr="000C67F5">
              <w:t>Bolile infecțioase ale mandibulei. Sindromul de osteomielită acută a maxilei superioare în copilăria timpurie</w:t>
            </w:r>
            <w:r w:rsidR="00006DE3" w:rsidRPr="000C67F5">
              <w:t xml:space="preserve">. </w:t>
            </w:r>
            <w:r w:rsidR="00277D62" w:rsidRPr="000C67F5">
              <w:t>Tumorile maxilarului și mucoasei bucale. Angiomul limbii. Sarcomul osteogenic</w:t>
            </w:r>
            <w:r w:rsidR="00006DE3" w:rsidRPr="000C67F5">
              <w:t xml:space="preserve">. </w:t>
            </w:r>
            <w:r w:rsidR="00277D62" w:rsidRPr="000C67F5">
              <w:t>Formarea despicăturii. Buza dublă. Raport de caz</w:t>
            </w:r>
            <w:r w:rsidR="00006DE3" w:rsidRPr="000C67F5">
              <w:t xml:space="preserve">. </w:t>
            </w:r>
            <w:r w:rsidR="00277D62" w:rsidRPr="000C67F5">
              <w:t>Igiena orală și prevenirea bolilor dentare. Igiena orală. Disciplina dietetică</w:t>
            </w:r>
            <w:r w:rsidR="00006DE3" w:rsidRPr="000C67F5">
              <w:t xml:space="preserve">. </w:t>
            </w:r>
            <w:r w:rsidR="00277D62" w:rsidRPr="000C67F5">
              <w:t>Măsura profilactică de utilizare a periei dentare. Periajul dentar. Placa bacteriană</w:t>
            </w:r>
            <w:r w:rsidR="00006DE3" w:rsidRPr="000C67F5">
              <w:t xml:space="preserve">. </w:t>
            </w:r>
            <w:r w:rsidR="00277D62" w:rsidRPr="000C67F5">
              <w:t>Stomatologia preventivă</w:t>
            </w:r>
            <w:r w:rsidR="00006DE3" w:rsidRPr="000C67F5">
              <w:t xml:space="preserve">. </w:t>
            </w:r>
            <w:r w:rsidR="00277D62" w:rsidRPr="000C67F5">
              <w:t>Sănătatea publică și măsurile de educație pentru sănătate dentară</w:t>
            </w:r>
            <w:r w:rsidR="00006DE3" w:rsidRPr="000C67F5">
              <w:t>.</w:t>
            </w:r>
          </w:p>
          <w:p w14:paraId="27B062FB" w14:textId="77777777" w:rsidR="000C67F5" w:rsidRPr="000C67F5" w:rsidRDefault="000C67F5" w:rsidP="000C67F5">
            <w:pPr>
              <w:pStyle w:val="Default"/>
              <w:jc w:val="both"/>
              <w:rPr>
                <w:sz w:val="23"/>
                <w:szCs w:val="23"/>
              </w:rPr>
            </w:pPr>
            <w:r w:rsidRPr="000C67F5">
              <w:rPr>
                <w:sz w:val="23"/>
                <w:szCs w:val="23"/>
              </w:rPr>
              <w:t>Dieta. Fluorizarea și mediul înconjurător</w:t>
            </w:r>
            <w:r>
              <w:rPr>
                <w:sz w:val="23"/>
                <w:szCs w:val="23"/>
              </w:rPr>
              <w:t>.</w:t>
            </w:r>
          </w:p>
          <w:p w14:paraId="34D1FCB8" w14:textId="77777777" w:rsidR="00013F49" w:rsidRPr="00013F49" w:rsidRDefault="00013F49" w:rsidP="000C67F5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013F49">
              <w:rPr>
                <w:b/>
                <w:sz w:val="23"/>
                <w:szCs w:val="23"/>
              </w:rPr>
              <w:t>Franceză</w:t>
            </w:r>
          </w:p>
          <w:p w14:paraId="7A454036" w14:textId="7F9C85AE" w:rsidR="00871038" w:rsidRPr="00BC0C41" w:rsidRDefault="000C67F5" w:rsidP="00B9641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Profesia aleasa din vocație. Universitatea de Stat de Medicină și Farmacie „ N. Testemițanu”. Istoria facultăț</w:t>
            </w:r>
            <w:r w:rsidR="0025529E">
              <w:rPr>
                <w:sz w:val="23"/>
                <w:szCs w:val="23"/>
              </w:rPr>
              <w:t xml:space="preserve">ii de Stomatologie. </w:t>
            </w:r>
            <w:r>
              <w:rPr>
                <w:sz w:val="23"/>
                <w:szCs w:val="23"/>
              </w:rPr>
              <w:t>Ziua de muncă a unui student – dentist. Nașterea medicinii dentare științifice în Franța. Pierre Fauchard. Dinții. Structura dinților. Tipurile de dinți și rolul lor. Dentiția. Poziționarea rea a dinților se corij</w:t>
            </w:r>
            <w:r w:rsidR="0025529E"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ază. Anomaliile dentare. Caria dentară. Maladiile parodontale. Gingivitele. Cabinetul stomatologic. Vizita la dentist. Igiena buco- dentară. Ce să facem pentru a proteja dinții? Pasta de dinți. Periuța de dinți. </w:t>
            </w:r>
            <w:r w:rsidR="0025529E">
              <w:rPr>
                <w:sz w:val="23"/>
                <w:szCs w:val="23"/>
              </w:rPr>
              <w:t xml:space="preserve">Vitaminele. </w:t>
            </w:r>
            <w:r>
              <w:rPr>
                <w:sz w:val="23"/>
                <w:szCs w:val="23"/>
              </w:rPr>
              <w:t xml:space="preserve">Atelier de lucru asupra literaturii de specialitate. </w:t>
            </w:r>
            <w:r w:rsidR="0025529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Atelier de l</w:t>
            </w:r>
            <w:r w:rsidR="0025529E">
              <w:rPr>
                <w:sz w:val="23"/>
                <w:szCs w:val="23"/>
              </w:rPr>
              <w:t xml:space="preserve">ucru asupra unui document video. </w:t>
            </w:r>
            <w:r>
              <w:rPr>
                <w:sz w:val="23"/>
                <w:szCs w:val="23"/>
              </w:rPr>
              <w:t>Studiile dentare din Franța. Arta dentară. Examenul clinic în stomatologie. La dentist. Recomandări în caz de extracție dentară. Dentisteria cosmetică. Moartea atomică. Atelier de lucru</w:t>
            </w:r>
            <w:r w:rsidR="0025529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Maladiile profesionale în stomatologie. Calculul salivar, o afecțiune rară și benignă. Litiaza salivară</w:t>
            </w:r>
            <w:r w:rsidR="0025529E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Implanturile dentare. Jurământul lui Hipocrate. Deontologia medicală. Sarcina și îngrijirile dentare. Igiena dentară și prevenirea cariilor. Cooperarea internațională în domeniul stomatologiei. </w:t>
            </w:r>
          </w:p>
        </w:tc>
      </w:tr>
      <w:tr w:rsidR="000B7EA4" w:rsidRPr="00E22DE3" w14:paraId="52A90DFC" w14:textId="77777777" w:rsidTr="00163F52">
        <w:tc>
          <w:tcPr>
            <w:tcW w:w="2689" w:type="dxa"/>
            <w:shd w:val="clear" w:color="auto" w:fill="DEEAF6" w:themeFill="accent1" w:themeFillTint="33"/>
          </w:tcPr>
          <w:p w14:paraId="742F6169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Finalități de studiu</w:t>
            </w:r>
          </w:p>
          <w:p w14:paraId="58B8FF91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36"/>
                <w:szCs w:val="24"/>
                <w:lang w:val="ro-RO"/>
              </w:rPr>
            </w:pPr>
          </w:p>
        </w:tc>
        <w:tc>
          <w:tcPr>
            <w:tcW w:w="6682" w:type="dxa"/>
            <w:gridSpan w:val="4"/>
          </w:tcPr>
          <w:p w14:paraId="4C31326B" w14:textId="77777777" w:rsidR="00F32F84" w:rsidRPr="000C67F5" w:rsidRDefault="00F32F84" w:rsidP="00F32F84">
            <w:pPr>
              <w:pStyle w:val="ListParagraph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definească particularitățile limbajului și terminologiei medicale generale în limba străină; </w:t>
            </w:r>
          </w:p>
          <w:p w14:paraId="16681D6C" w14:textId="77777777" w:rsidR="00F32F84" w:rsidRPr="000C67F5" w:rsidRDefault="00F32F84" w:rsidP="00F32F84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identifice simbolurile de specialitate și particularitațile limbajului medical utiliz</w:t>
            </w:r>
            <w:r w:rsidR="00E22DE3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 în domeniul medicinii dentare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33D76F3" w14:textId="77777777" w:rsidR="00F32F84" w:rsidRPr="000C67F5" w:rsidRDefault="00F32F84" w:rsidP="00F32F84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utilizeze lexicul autentic specializat în comunicarea curentă în </w:t>
            </w:r>
            <w:r w:rsidR="00D175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activității profesionale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8092364" w14:textId="77777777" w:rsidR="00F32F84" w:rsidRPr="000C67F5" w:rsidRDefault="00F32F84" w:rsidP="00F32F84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aplice mecanismele de formare și specificul unui mesaj </w:t>
            </w:r>
            <w:r w:rsidR="00D175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 enunț cu aspect profesional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19F885E" w14:textId="77777777" w:rsidR="00F32F84" w:rsidRPr="000C67F5" w:rsidRDefault="00F32F84" w:rsidP="00F32F84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definească structurile gramaticale caracteristice limbii străine cu aspect profesional;</w:t>
            </w:r>
          </w:p>
          <w:p w14:paraId="103F8493" w14:textId="5CD23E08" w:rsidR="00F32F84" w:rsidRPr="000C67F5" w:rsidRDefault="00F32F84" w:rsidP="00F32F84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identifice limbajul medical</w:t>
            </w:r>
            <w:r w:rsidR="00BC0C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/stomatologic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utiliz</w:t>
            </w:r>
            <w:r w:rsidR="00E22DE3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 în domeniul medicinii dentare 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scopul utilizării ulterioare a competenţelor lingvistice şi de comunicare (exprimare orală şi  scrisă);</w:t>
            </w:r>
          </w:p>
          <w:p w14:paraId="6FCDA9C8" w14:textId="77777777" w:rsidR="00F32F84" w:rsidRPr="000C67F5" w:rsidRDefault="00F32F84" w:rsidP="00F32F84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formuleze principii de bază și noţiun</w:t>
            </w:r>
            <w:r w:rsidR="00E22DE3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din domeniul medicinii dentare  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necesare în colaborarea și participarea ulterioară în 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cadrul conferințelor/ proiectelor internaționale;</w:t>
            </w:r>
          </w:p>
          <w:p w14:paraId="3FF74834" w14:textId="77777777" w:rsidR="00F32F84" w:rsidRPr="000C67F5" w:rsidRDefault="00F32F84" w:rsidP="00F32F8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  interpreteze idei, proiecte, procese, conținuturi teoretice și practice ale disciplinei;</w:t>
            </w:r>
          </w:p>
          <w:p w14:paraId="0C99D81F" w14:textId="77777777" w:rsidR="00F32F84" w:rsidRPr="000C67F5" w:rsidRDefault="00F32F84" w:rsidP="00F32F8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aplice deprinderile de citire orientativă (articole), cursivă (comprehensiunea conținutului unui text de specialitate), selectivă (sintetizarea informației) şi totală (comprehensiunea integrală a conținutului  textului);</w:t>
            </w:r>
          </w:p>
          <w:p w14:paraId="0504DFF4" w14:textId="77777777" w:rsidR="00F32F84" w:rsidRPr="000C67F5" w:rsidRDefault="00F32F84" w:rsidP="00F32F8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reproducă textul de specialitate  în limba străină ;</w:t>
            </w:r>
          </w:p>
          <w:p w14:paraId="27103A15" w14:textId="77777777" w:rsidR="00F32F84" w:rsidRPr="000C67F5" w:rsidRDefault="00F32F84" w:rsidP="00F32F8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utilizeze traducerea unor texte, articole, documente, prescripții în limba străină; </w:t>
            </w:r>
          </w:p>
          <w:p w14:paraId="3490F213" w14:textId="77777777" w:rsidR="00F32F84" w:rsidRPr="000C67F5" w:rsidRDefault="00F32F84" w:rsidP="00F32F8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dezvolte capacităţi de selectare, sintetizare şi rezumare;</w:t>
            </w:r>
          </w:p>
          <w:p w14:paraId="18E98BE8" w14:textId="08FF9B86" w:rsidR="000B7EA4" w:rsidRPr="00222969" w:rsidRDefault="00F32F84" w:rsidP="00531B8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dezvolte  abilități de comunicare pentru a iniția discuții, dialoguri, dezbateri tematice în situații profesionale ;</w:t>
            </w:r>
          </w:p>
        </w:tc>
      </w:tr>
      <w:tr w:rsidR="000B7EA4" w:rsidRPr="00E22DE3" w14:paraId="5CBE50F1" w14:textId="77777777" w:rsidTr="00F54B73">
        <w:trPr>
          <w:trHeight w:val="2501"/>
        </w:trPr>
        <w:tc>
          <w:tcPr>
            <w:tcW w:w="2689" w:type="dxa"/>
          </w:tcPr>
          <w:p w14:paraId="3A8A5A0F" w14:textId="77777777" w:rsidR="000B7EA4" w:rsidRPr="000C67F5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Manopere</w:t>
            </w:r>
            <w:r w:rsidR="00E53EEA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/Deprinderi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 achiziționate</w:t>
            </w:r>
          </w:p>
          <w:p w14:paraId="1ADC8FA3" w14:textId="77777777" w:rsidR="000B7EA4" w:rsidRDefault="000B7EA4" w:rsidP="000B7EA4">
            <w:pPr>
              <w:rPr>
                <w:rFonts w:ascii="Times New Roman" w:hAnsi="Times New Roman" w:cs="Times New Roman"/>
                <w:sz w:val="36"/>
                <w:szCs w:val="24"/>
                <w:lang w:val="ro-RO"/>
              </w:rPr>
            </w:pPr>
          </w:p>
          <w:p w14:paraId="1C1CD132" w14:textId="77777777" w:rsidR="00222969" w:rsidRPr="00222969" w:rsidRDefault="00222969" w:rsidP="00222969">
            <w:pPr>
              <w:rPr>
                <w:rFonts w:ascii="Times New Roman" w:hAnsi="Times New Roman" w:cs="Times New Roman"/>
                <w:sz w:val="36"/>
                <w:szCs w:val="24"/>
                <w:lang w:val="ro-RO"/>
              </w:rPr>
            </w:pPr>
          </w:p>
          <w:p w14:paraId="68ADBF4C" w14:textId="740969D3" w:rsidR="00222969" w:rsidRPr="00222969" w:rsidRDefault="00222969" w:rsidP="00222969">
            <w:pPr>
              <w:rPr>
                <w:rFonts w:ascii="Times New Roman" w:hAnsi="Times New Roman" w:cs="Times New Roman"/>
                <w:sz w:val="36"/>
                <w:szCs w:val="24"/>
                <w:lang w:val="ro-RO"/>
              </w:rPr>
            </w:pPr>
          </w:p>
        </w:tc>
        <w:tc>
          <w:tcPr>
            <w:tcW w:w="6682" w:type="dxa"/>
            <w:gridSpan w:val="4"/>
          </w:tcPr>
          <w:p w14:paraId="6C90BC3F" w14:textId="77777777" w:rsidR="00F32F84" w:rsidRPr="000C67F5" w:rsidRDefault="00F32F84" w:rsidP="00F32F84">
            <w:pPr>
              <w:pStyle w:val="ListParagraph"/>
              <w:numPr>
                <w:ilvl w:val="0"/>
                <w:numId w:val="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facă analiza și sinteza informației din surse autentice  și s-o prezente   în formă orală sau scrisă;</w:t>
            </w:r>
          </w:p>
          <w:p w14:paraId="07929D79" w14:textId="77777777" w:rsidR="00531B81" w:rsidRPr="000C67F5" w:rsidRDefault="00531B81" w:rsidP="00531B81">
            <w:pPr>
              <w:pStyle w:val="ListParagraph"/>
              <w:numPr>
                <w:ilvl w:val="0"/>
                <w:numId w:val="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utilizeze cunoștințele și abilitățile de comunicare  într-un mediu profesional, folosind tematicil</w:t>
            </w:r>
            <w:r w:rsidR="00E22DE3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specifice domeniului medicinii dentare  </w:t>
            </w: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scopul promovării unui dialog intercultural și interdisciplinar;</w:t>
            </w:r>
          </w:p>
          <w:p w14:paraId="1EAFE3AE" w14:textId="48A5B18F" w:rsidR="00222969" w:rsidRPr="00222969" w:rsidRDefault="00531B81" w:rsidP="00222969">
            <w:pPr>
              <w:pStyle w:val="ListParagraph"/>
              <w:numPr>
                <w:ilvl w:val="0"/>
                <w:numId w:val="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implementeze cunoștințele dobândite  în activitatea de cercetare/redactare a unor lucrări de specialitate în limba străină</w:t>
            </w:r>
            <w:r w:rsidR="00F32F84" w:rsidRPr="000C6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0B7EA4" w:rsidRPr="001E056C" w14:paraId="2DC27426" w14:textId="77777777" w:rsidTr="00163F52">
        <w:tc>
          <w:tcPr>
            <w:tcW w:w="2689" w:type="dxa"/>
            <w:shd w:val="clear" w:color="auto" w:fill="DEEAF6" w:themeFill="accent1" w:themeFillTint="33"/>
          </w:tcPr>
          <w:p w14:paraId="0C341960" w14:textId="77777777" w:rsidR="000B7EA4" w:rsidRPr="0012155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15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682" w:type="dxa"/>
            <w:gridSpan w:val="4"/>
          </w:tcPr>
          <w:p w14:paraId="45BE39F6" w14:textId="7AB1B733" w:rsidR="000B7EA4" w:rsidRPr="00121550" w:rsidRDefault="00222969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Colocviu/</w:t>
            </w:r>
            <w:r w:rsidR="00F32F84" w:rsidRPr="001215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</w:tbl>
    <w:p w14:paraId="17EEB138" w14:textId="77777777" w:rsidR="000B7EA4" w:rsidRDefault="000B7EA4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B117BE6" w14:textId="77777777" w:rsidR="00086B9E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8CAF621" w14:textId="77777777" w:rsidR="00086B9E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86B9E" w:rsidSect="006D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9D"/>
    <w:multiLevelType w:val="hybridMultilevel"/>
    <w:tmpl w:val="ADE6BAC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A44"/>
    <w:multiLevelType w:val="hybridMultilevel"/>
    <w:tmpl w:val="59B84DC2"/>
    <w:lvl w:ilvl="0" w:tplc="E6306B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2B06"/>
    <w:multiLevelType w:val="hybridMultilevel"/>
    <w:tmpl w:val="8ABE350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71F9"/>
    <w:multiLevelType w:val="hybridMultilevel"/>
    <w:tmpl w:val="147C57E6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52F6B"/>
    <w:multiLevelType w:val="hybridMultilevel"/>
    <w:tmpl w:val="C7A6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4295"/>
    <w:multiLevelType w:val="hybridMultilevel"/>
    <w:tmpl w:val="C59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191E"/>
    <w:multiLevelType w:val="hybridMultilevel"/>
    <w:tmpl w:val="48FE861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853A9"/>
    <w:multiLevelType w:val="hybridMultilevel"/>
    <w:tmpl w:val="B56207D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06DE3"/>
    <w:rsid w:val="00013F49"/>
    <w:rsid w:val="00045990"/>
    <w:rsid w:val="00063ADA"/>
    <w:rsid w:val="00086B9E"/>
    <w:rsid w:val="0009359B"/>
    <w:rsid w:val="000B7EA4"/>
    <w:rsid w:val="000C67F5"/>
    <w:rsid w:val="00121550"/>
    <w:rsid w:val="00163F52"/>
    <w:rsid w:val="001B7667"/>
    <w:rsid w:val="001E056C"/>
    <w:rsid w:val="00222969"/>
    <w:rsid w:val="0025529E"/>
    <w:rsid w:val="00270190"/>
    <w:rsid w:val="00277D62"/>
    <w:rsid w:val="002B099F"/>
    <w:rsid w:val="00335FF9"/>
    <w:rsid w:val="00347E2D"/>
    <w:rsid w:val="00347F53"/>
    <w:rsid w:val="00452E79"/>
    <w:rsid w:val="004550B3"/>
    <w:rsid w:val="004710AD"/>
    <w:rsid w:val="004C6BDD"/>
    <w:rsid w:val="00531B81"/>
    <w:rsid w:val="005358D6"/>
    <w:rsid w:val="00630818"/>
    <w:rsid w:val="006648AA"/>
    <w:rsid w:val="00677DC2"/>
    <w:rsid w:val="006B7BBE"/>
    <w:rsid w:val="006D5C05"/>
    <w:rsid w:val="007939FF"/>
    <w:rsid w:val="007C6698"/>
    <w:rsid w:val="007D18F2"/>
    <w:rsid w:val="00862686"/>
    <w:rsid w:val="00871038"/>
    <w:rsid w:val="00893506"/>
    <w:rsid w:val="008D4D58"/>
    <w:rsid w:val="008D6313"/>
    <w:rsid w:val="00937FCD"/>
    <w:rsid w:val="009B765D"/>
    <w:rsid w:val="009C7658"/>
    <w:rsid w:val="00AD75B5"/>
    <w:rsid w:val="00AF4C90"/>
    <w:rsid w:val="00B842C1"/>
    <w:rsid w:val="00B9641A"/>
    <w:rsid w:val="00BC0C41"/>
    <w:rsid w:val="00BE6FF3"/>
    <w:rsid w:val="00C02C9F"/>
    <w:rsid w:val="00C95E33"/>
    <w:rsid w:val="00CB44CC"/>
    <w:rsid w:val="00D17539"/>
    <w:rsid w:val="00D2151B"/>
    <w:rsid w:val="00D67F6D"/>
    <w:rsid w:val="00D74313"/>
    <w:rsid w:val="00DB0DAB"/>
    <w:rsid w:val="00DC2943"/>
    <w:rsid w:val="00DE53B0"/>
    <w:rsid w:val="00E22DE3"/>
    <w:rsid w:val="00E237D8"/>
    <w:rsid w:val="00E53EEA"/>
    <w:rsid w:val="00EE45F0"/>
    <w:rsid w:val="00F24C0E"/>
    <w:rsid w:val="00F32F84"/>
    <w:rsid w:val="00F54B7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C226"/>
  <w15:docId w15:val="{857D3CBA-3B8D-4DE2-8410-42D72072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05"/>
  </w:style>
  <w:style w:type="paragraph" w:styleId="Heading1">
    <w:name w:val="heading 1"/>
    <w:basedOn w:val="Normal"/>
    <w:next w:val="Normal"/>
    <w:link w:val="Heading1Char"/>
    <w:qFormat/>
    <w:rsid w:val="00F32F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5358D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5358D6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Strong">
    <w:name w:val="Strong"/>
    <w:basedOn w:val="DefaultParagraphFont"/>
    <w:uiPriority w:val="22"/>
    <w:qFormat/>
    <w:rsid w:val="001E056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32F84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customStyle="1" w:styleId="Default">
    <w:name w:val="Default"/>
    <w:rsid w:val="00B96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2021-04-05T12:21:00Z</cp:lastPrinted>
  <dcterms:created xsi:type="dcterms:W3CDTF">2021-09-06T06:55:00Z</dcterms:created>
  <dcterms:modified xsi:type="dcterms:W3CDTF">2022-09-12T12:09:00Z</dcterms:modified>
</cp:coreProperties>
</file>