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1430"/>
        <w:gridCol w:w="839"/>
        <w:gridCol w:w="2984"/>
        <w:gridCol w:w="1753"/>
      </w:tblGrid>
      <w:tr w:rsidR="000B7EA4" w:rsidRPr="003858CE" w14:paraId="3901C7D7" w14:textId="77777777" w:rsidTr="00FA18A8">
        <w:tc>
          <w:tcPr>
            <w:tcW w:w="2339" w:type="dxa"/>
            <w:shd w:val="clear" w:color="auto" w:fill="DEEAF6" w:themeFill="accent1" w:themeFillTint="33"/>
          </w:tcPr>
          <w:p w14:paraId="31190297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0274520"/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Denumirea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disciplinei</w:t>
            </w:r>
            <w:proofErr w:type="spellEnd"/>
          </w:p>
        </w:tc>
        <w:tc>
          <w:tcPr>
            <w:tcW w:w="7006" w:type="dxa"/>
            <w:gridSpan w:val="4"/>
            <w:vAlign w:val="center"/>
          </w:tcPr>
          <w:p w14:paraId="27851EF8" w14:textId="4E9C07F6" w:rsidR="000B7EA4" w:rsidRPr="000C78CA" w:rsidRDefault="00D36A79" w:rsidP="00A403F6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0C78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Limba</w:t>
            </w:r>
            <w:proofErr w:type="spellEnd"/>
            <w:r w:rsidRPr="000C78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C78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engleză</w:t>
            </w:r>
            <w:proofErr w:type="spellEnd"/>
            <w:r w:rsidRPr="000C78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</w:t>
            </w:r>
            <w:proofErr w:type="spellStart"/>
            <w:r w:rsidRPr="000C78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franceză</w:t>
            </w:r>
            <w:proofErr w:type="spellEnd"/>
            <w:r w:rsidRPr="000C78C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AMG</w:t>
            </w:r>
          </w:p>
        </w:tc>
      </w:tr>
      <w:tr w:rsidR="00826578" w:rsidRPr="003858CE" w14:paraId="0D9E20D7" w14:textId="77777777" w:rsidTr="00FA18A8">
        <w:tc>
          <w:tcPr>
            <w:tcW w:w="2339" w:type="dxa"/>
          </w:tcPr>
          <w:p w14:paraId="145C6258" w14:textId="77777777" w:rsidR="00826578" w:rsidRPr="003858CE" w:rsidRDefault="00826578" w:rsidP="00E5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</w:tcPr>
          <w:p w14:paraId="37357846" w14:textId="77777777" w:rsidR="00826578" w:rsidRPr="003858CE" w:rsidRDefault="00D36A79" w:rsidP="00E5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oblibatoriu</w:t>
            </w:r>
            <w:proofErr w:type="spellEnd"/>
          </w:p>
        </w:tc>
        <w:tc>
          <w:tcPr>
            <w:tcW w:w="2984" w:type="dxa"/>
            <w:vAlign w:val="center"/>
          </w:tcPr>
          <w:p w14:paraId="1953F903" w14:textId="77777777" w:rsidR="00826578" w:rsidRPr="003858CE" w:rsidRDefault="00826578" w:rsidP="0038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Credite</w:t>
            </w:r>
            <w:proofErr w:type="spellEnd"/>
          </w:p>
        </w:tc>
        <w:tc>
          <w:tcPr>
            <w:tcW w:w="1753" w:type="dxa"/>
            <w:vAlign w:val="center"/>
          </w:tcPr>
          <w:p w14:paraId="4584AAED" w14:textId="77777777" w:rsidR="00826578" w:rsidRPr="003858CE" w:rsidRDefault="00D36A79" w:rsidP="00E5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5963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</w:tr>
      <w:tr w:rsidR="00FA18A8" w:rsidRPr="003858CE" w14:paraId="221EE912" w14:textId="77777777" w:rsidTr="00FA18A8">
        <w:tc>
          <w:tcPr>
            <w:tcW w:w="2339" w:type="dxa"/>
          </w:tcPr>
          <w:p w14:paraId="065E8A50" w14:textId="77777777" w:rsidR="00FA18A8" w:rsidRPr="003858CE" w:rsidRDefault="00FA18A8" w:rsidP="00E56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Anul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proofErr w:type="spellEnd"/>
          </w:p>
        </w:tc>
        <w:tc>
          <w:tcPr>
            <w:tcW w:w="2269" w:type="dxa"/>
            <w:gridSpan w:val="2"/>
          </w:tcPr>
          <w:p w14:paraId="73ECC6FF" w14:textId="77777777" w:rsidR="00FA18A8" w:rsidRDefault="00FA18A8" w:rsidP="00FA1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984" w:type="dxa"/>
            <w:vAlign w:val="center"/>
          </w:tcPr>
          <w:p w14:paraId="5D9B1DB8" w14:textId="77777777" w:rsidR="00FA18A8" w:rsidRPr="003858CE" w:rsidRDefault="00FA18A8" w:rsidP="0038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Semestrul</w:t>
            </w:r>
            <w:proofErr w:type="spellEnd"/>
          </w:p>
        </w:tc>
        <w:tc>
          <w:tcPr>
            <w:tcW w:w="1753" w:type="dxa"/>
            <w:vAlign w:val="center"/>
          </w:tcPr>
          <w:p w14:paraId="22D00A11" w14:textId="77777777" w:rsidR="00FA18A8" w:rsidRDefault="00FA18A8" w:rsidP="00E5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</w:t>
            </w:r>
            <w:r w:rsidRPr="00D36A7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826578" w:rsidRPr="003858CE" w14:paraId="00F810D9" w14:textId="77777777" w:rsidTr="00FA18A8">
        <w:tc>
          <w:tcPr>
            <w:tcW w:w="2339" w:type="dxa"/>
            <w:vMerge w:val="restart"/>
          </w:tcPr>
          <w:p w14:paraId="16E0288A" w14:textId="77777777" w:rsidR="00826578" w:rsidRPr="003858CE" w:rsidRDefault="0082657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</w:rPr>
              <w:t xml:space="preserve"> de ore</w:t>
            </w:r>
          </w:p>
        </w:tc>
        <w:tc>
          <w:tcPr>
            <w:tcW w:w="1430" w:type="dxa"/>
          </w:tcPr>
          <w:p w14:paraId="307FF72C" w14:textId="77777777" w:rsidR="00826578" w:rsidRPr="003858CE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Curs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14:paraId="383A1FF0" w14:textId="77777777" w:rsidR="00826578" w:rsidRPr="003858CE" w:rsidRDefault="00826578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84" w:type="dxa"/>
          </w:tcPr>
          <w:p w14:paraId="28E80292" w14:textId="77777777" w:rsidR="00826578" w:rsidRPr="003858CE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Lucrări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practice/de </w:t>
            </w: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laborator</w:t>
            </w:r>
            <w:proofErr w:type="spellEnd"/>
          </w:p>
        </w:tc>
        <w:tc>
          <w:tcPr>
            <w:tcW w:w="1753" w:type="dxa"/>
            <w:vAlign w:val="center"/>
          </w:tcPr>
          <w:p w14:paraId="67B76058" w14:textId="77777777" w:rsidR="00826578" w:rsidRPr="003858CE" w:rsidRDefault="00826578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26578" w:rsidRPr="003858CE" w14:paraId="14630CF5" w14:textId="77777777" w:rsidTr="00FA18A8">
        <w:tc>
          <w:tcPr>
            <w:tcW w:w="2339" w:type="dxa"/>
            <w:vMerge/>
          </w:tcPr>
          <w:p w14:paraId="47AB187E" w14:textId="77777777" w:rsidR="00826578" w:rsidRPr="003858CE" w:rsidRDefault="00826578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14:paraId="09D77471" w14:textId="77777777" w:rsidR="00826578" w:rsidRPr="003858CE" w:rsidRDefault="00826578" w:rsidP="000B7EA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Seminare</w:t>
            </w:r>
            <w:proofErr w:type="spellEnd"/>
          </w:p>
        </w:tc>
        <w:tc>
          <w:tcPr>
            <w:tcW w:w="839" w:type="dxa"/>
            <w:vAlign w:val="center"/>
          </w:tcPr>
          <w:p w14:paraId="299AC9C0" w14:textId="1FBDE1C6" w:rsidR="00826578" w:rsidRPr="003858CE" w:rsidRDefault="000155DF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30/30</w:t>
            </w:r>
          </w:p>
        </w:tc>
        <w:tc>
          <w:tcPr>
            <w:tcW w:w="2984" w:type="dxa"/>
          </w:tcPr>
          <w:p w14:paraId="323A9528" w14:textId="77777777" w:rsidR="00826578" w:rsidRPr="003858CE" w:rsidRDefault="00826578" w:rsidP="00A403F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Lucrul</w:t>
            </w:r>
            <w:proofErr w:type="spellEnd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858C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individual</w:t>
            </w:r>
            <w:proofErr w:type="spellEnd"/>
          </w:p>
        </w:tc>
        <w:tc>
          <w:tcPr>
            <w:tcW w:w="1753" w:type="dxa"/>
            <w:vAlign w:val="center"/>
          </w:tcPr>
          <w:p w14:paraId="0C78E12C" w14:textId="77777777" w:rsidR="00826578" w:rsidRPr="003858CE" w:rsidRDefault="000155DF" w:rsidP="00A403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30/30</w:t>
            </w:r>
          </w:p>
        </w:tc>
      </w:tr>
      <w:tr w:rsidR="000B7EA4" w:rsidRPr="003858CE" w14:paraId="61DD6212" w14:textId="77777777" w:rsidTr="00FA18A8">
        <w:tc>
          <w:tcPr>
            <w:tcW w:w="2339" w:type="dxa"/>
          </w:tcPr>
          <w:p w14:paraId="36F4E0C8" w14:textId="77777777" w:rsidR="000B7EA4" w:rsidRPr="003858CE" w:rsidRDefault="00B04142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Componenț</w:t>
            </w:r>
            <w:r w:rsidR="000B7EA4" w:rsidRPr="003858C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7006" w:type="dxa"/>
            <w:gridSpan w:val="4"/>
            <w:vAlign w:val="center"/>
          </w:tcPr>
          <w:p w14:paraId="6B6020F6" w14:textId="77777777" w:rsidR="000B7EA4" w:rsidRPr="003858CE" w:rsidRDefault="000B7EA4" w:rsidP="00A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Orientarea </w:t>
            </w:r>
            <w:proofErr w:type="spellStart"/>
            <w:r w:rsidRPr="003858C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socio</w:t>
            </w:r>
            <w:proofErr w:type="spellEnd"/>
            <w:r w:rsidRPr="003858CE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-umană, De specialitate</w:t>
            </w:r>
          </w:p>
        </w:tc>
      </w:tr>
      <w:tr w:rsidR="000B7EA4" w:rsidRPr="000155DF" w14:paraId="6689C509" w14:textId="77777777" w:rsidTr="00FA18A8">
        <w:tc>
          <w:tcPr>
            <w:tcW w:w="2339" w:type="dxa"/>
          </w:tcPr>
          <w:p w14:paraId="05082B2D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Titularul de curs</w:t>
            </w:r>
          </w:p>
        </w:tc>
        <w:tc>
          <w:tcPr>
            <w:tcW w:w="7006" w:type="dxa"/>
            <w:gridSpan w:val="4"/>
            <w:vAlign w:val="center"/>
          </w:tcPr>
          <w:p w14:paraId="256D20A3" w14:textId="77777777" w:rsidR="000B7EA4" w:rsidRPr="00D36A79" w:rsidRDefault="00D36A79" w:rsidP="00A403F6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D36A7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Viorica</w:t>
            </w:r>
            <w:proofErr w:type="spellEnd"/>
            <w:r w:rsidRPr="00D36A7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Cazac, </w:t>
            </w:r>
            <w:proofErr w:type="spellStart"/>
            <w:r w:rsidRPr="00D36A7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asistent</w:t>
            </w:r>
            <w:proofErr w:type="spellEnd"/>
            <w:r w:rsidRPr="00D36A7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6A7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universitar</w:t>
            </w:r>
            <w:proofErr w:type="spellEnd"/>
            <w:r w:rsidRPr="00D36A7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Veronica </w:t>
            </w:r>
            <w:proofErr w:type="spellStart"/>
            <w:r w:rsidRPr="00D36A7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Voloșciuc</w:t>
            </w:r>
            <w:proofErr w:type="spellEnd"/>
            <w:r w:rsidRPr="00D36A7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D36A7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asistent</w:t>
            </w:r>
            <w:proofErr w:type="spellEnd"/>
            <w:r w:rsidRPr="00D36A7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D36A7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universitar</w:t>
            </w:r>
            <w:proofErr w:type="spellEnd"/>
          </w:p>
        </w:tc>
      </w:tr>
      <w:tr w:rsidR="000B7EA4" w:rsidRPr="003858CE" w14:paraId="267F327E" w14:textId="77777777" w:rsidTr="00FA18A8">
        <w:tc>
          <w:tcPr>
            <w:tcW w:w="2339" w:type="dxa"/>
          </w:tcPr>
          <w:p w14:paraId="4E58D079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Locația </w:t>
            </w:r>
          </w:p>
        </w:tc>
        <w:tc>
          <w:tcPr>
            <w:tcW w:w="7006" w:type="dxa"/>
            <w:gridSpan w:val="4"/>
            <w:vAlign w:val="center"/>
          </w:tcPr>
          <w:p w14:paraId="40428281" w14:textId="77777777" w:rsidR="000B7EA4" w:rsidRDefault="006337BF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Blocul didactic nr 3</w:t>
            </w:r>
          </w:p>
          <w:p w14:paraId="529572D1" w14:textId="77777777" w:rsidR="006337BF" w:rsidRDefault="006337BF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Bd Ștefan cel Mare 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Sfănt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,129A</w:t>
            </w:r>
          </w:p>
          <w:p w14:paraId="4A62A19A" w14:textId="77777777" w:rsidR="006337BF" w:rsidRDefault="006337BF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Chișinău, MD -2004, Republica Moldova</w:t>
            </w:r>
          </w:p>
          <w:p w14:paraId="44DE7D71" w14:textId="77777777" w:rsidR="006337BF" w:rsidRPr="003858CE" w:rsidRDefault="006337BF" w:rsidP="00A40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 +373) 22 204 205</w:t>
            </w:r>
          </w:p>
        </w:tc>
      </w:tr>
      <w:tr w:rsidR="000B7EA4" w:rsidRPr="00D36A79" w14:paraId="5EF1D6C0" w14:textId="77777777" w:rsidTr="00FA18A8">
        <w:tc>
          <w:tcPr>
            <w:tcW w:w="2339" w:type="dxa"/>
            <w:vMerge w:val="restart"/>
          </w:tcPr>
          <w:p w14:paraId="78C0C876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Condiționări și exigențe prealabile de:</w:t>
            </w:r>
          </w:p>
        </w:tc>
        <w:tc>
          <w:tcPr>
            <w:tcW w:w="7006" w:type="dxa"/>
            <w:gridSpan w:val="4"/>
            <w:vAlign w:val="center"/>
          </w:tcPr>
          <w:p w14:paraId="16D75C05" w14:textId="77777777" w:rsidR="000B7EA4" w:rsidRPr="003858CE" w:rsidRDefault="006337BF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Studierea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limbilor</w:t>
            </w:r>
            <w:proofErr w:type="spellEnd"/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străine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specialitate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prevăd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nivelul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minim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A 2 –B1 de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cunoaștere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 a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limbilor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stăine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>conform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fr-FR"/>
              </w:rPr>
              <w:t xml:space="preserve"> CECRL</w:t>
            </w:r>
          </w:p>
        </w:tc>
      </w:tr>
      <w:tr w:rsidR="000B7EA4" w:rsidRPr="000155DF" w14:paraId="3E2E7906" w14:textId="77777777" w:rsidTr="00FA18A8">
        <w:tc>
          <w:tcPr>
            <w:tcW w:w="2339" w:type="dxa"/>
            <w:vMerge/>
          </w:tcPr>
          <w:p w14:paraId="7EC860A8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7006" w:type="dxa"/>
            <w:gridSpan w:val="4"/>
            <w:vAlign w:val="center"/>
          </w:tcPr>
          <w:p w14:paraId="68311639" w14:textId="77777777" w:rsidR="000B7EA4" w:rsidRPr="003858CE" w:rsidRDefault="006337BF" w:rsidP="00A403F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Nivelul minim  A2 –B1 de cunoaștere a limbilor străine conform CECRL, competențe digitale, abilitatea de comunicare și de lucru în echipă.</w:t>
            </w:r>
          </w:p>
        </w:tc>
      </w:tr>
      <w:tr w:rsidR="000B7EA4" w:rsidRPr="00D36A79" w14:paraId="73327A18" w14:textId="77777777" w:rsidTr="00FA18A8">
        <w:tc>
          <w:tcPr>
            <w:tcW w:w="2339" w:type="dxa"/>
            <w:shd w:val="clear" w:color="auto" w:fill="DEEAF6" w:themeFill="accent1" w:themeFillTint="33"/>
          </w:tcPr>
          <w:p w14:paraId="17E5BFBC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disciplinei</w:t>
            </w:r>
          </w:p>
        </w:tc>
        <w:tc>
          <w:tcPr>
            <w:tcW w:w="7006" w:type="dxa"/>
            <w:gridSpan w:val="4"/>
          </w:tcPr>
          <w:p w14:paraId="63F95FFE" w14:textId="77777777" w:rsidR="00C3603A" w:rsidRDefault="00C3603A" w:rsidP="00C360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Misiunea acestui program de studii include studierea limbii engleze/franceze cu aspect profesional , care va contribui la dezvoltarea capacităților , cunoștințelor  și atitudinilor  profesionale prin explorarea altor discipline cu conținuturi diverse.</w:t>
            </w:r>
          </w:p>
          <w:p w14:paraId="70E48529" w14:textId="77777777" w:rsidR="00C3603A" w:rsidRDefault="00C3603A" w:rsidP="00C360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Utilizarea surselor informaționale de specialitate în limbile engleză și franceză,</w:t>
            </w:r>
          </w:p>
          <w:p w14:paraId="09D579B2" w14:textId="77777777" w:rsidR="00C3603A" w:rsidRDefault="00C3603A" w:rsidP="00C360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Cultivarea  și însușirea temeinică a terminologiei specifice,</w:t>
            </w:r>
          </w:p>
          <w:p w14:paraId="5DAA689F" w14:textId="77777777" w:rsidR="00C3603A" w:rsidRDefault="00C3603A" w:rsidP="00C3603A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Aplicarea competențelor de comunicare în limba străină într-un mediu spitalicesc anglofon/ francofon,</w:t>
            </w:r>
          </w:p>
          <w:p w14:paraId="5ACC85B6" w14:textId="6B483955" w:rsidR="000B7EA4" w:rsidRPr="00410A34" w:rsidRDefault="00C3603A" w:rsidP="0082657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Participarea activă la conferințe și congrese  naționale și internaționale</w:t>
            </w:r>
            <w:r w:rsidR="00410A3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0B7EA4" w:rsidRPr="003858CE" w14:paraId="7E000337" w14:textId="77777777" w:rsidTr="00FA18A8">
        <w:tc>
          <w:tcPr>
            <w:tcW w:w="2339" w:type="dxa"/>
          </w:tcPr>
          <w:p w14:paraId="7282E8E5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Tematica prezentată</w:t>
            </w:r>
          </w:p>
        </w:tc>
        <w:tc>
          <w:tcPr>
            <w:tcW w:w="7006" w:type="dxa"/>
            <w:gridSpan w:val="4"/>
          </w:tcPr>
          <w:p w14:paraId="232D94E6" w14:textId="77777777" w:rsidR="00C3603A" w:rsidRDefault="00C3603A" w:rsidP="00C360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Concepte de sănătate și bunăstare</w:t>
            </w:r>
            <w:r w:rsidR="0003596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pacientului.Anatomia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corpului uman, organe și sisteme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organe.Sistemul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musculo-scheletic,cardio-vascular,respirator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digestiv,nervos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central 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periferic..Importanța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unei diete sănătoase 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echilibrate.Lucru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echipă. Tipuri de îngrijiri medicale. Spitale și secția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internare.Asistența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medicală la domiciliu. Semne și simptome ale maladiilor. Managementul durerii acute 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cronice.Metode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/tehnici de investigații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medicale.Examenele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/ teste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laborator.Tratamentul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medical și chirurgical. Medicina non convențională. Principiul de imunizare. Conceptul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cuvîntului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,,vaccin,,.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Ingrijirea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pacientului în comă. Managementul  maladiilor cardiace și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respiratorii.Medicina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 chirurgia paliativă și curativă în tratamentul  diabetului zaharat .Obezitatea și regimul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alimentar.Asistența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medicală în sănătatea mentală. Schizofrenia.</w:t>
            </w:r>
          </w:p>
          <w:p w14:paraId="26B61133" w14:textId="77777777" w:rsidR="00C3603A" w:rsidRDefault="00C3603A" w:rsidP="00C360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Anamneza și interogarea pacientului. Tipuri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anestezie.Tehnica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intervievării bolnavului. </w:t>
            </w:r>
          </w:p>
          <w:p w14:paraId="31BE9C9B" w14:textId="77777777" w:rsidR="00C3603A" w:rsidRDefault="00C3603A" w:rsidP="00C360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Tipologia accidentelor și tratamentul lor;</w:t>
            </w:r>
          </w:p>
          <w:p w14:paraId="788AC04B" w14:textId="77777777" w:rsidR="000B7EA4" w:rsidRPr="003858CE" w:rsidRDefault="00C3603A" w:rsidP="00C3603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Asistența medicală primară și generală.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Semiologie.Reguli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privind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protecţia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igiena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securitatea muncii în cadrul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unitaţii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medicale.</w:t>
            </w:r>
          </w:p>
        </w:tc>
      </w:tr>
      <w:tr w:rsidR="000B7EA4" w:rsidRPr="003858CE" w14:paraId="3BE63136" w14:textId="77777777" w:rsidTr="00FA18A8">
        <w:tc>
          <w:tcPr>
            <w:tcW w:w="2339" w:type="dxa"/>
            <w:shd w:val="clear" w:color="auto" w:fill="DEEAF6" w:themeFill="accent1" w:themeFillTint="33"/>
          </w:tcPr>
          <w:p w14:paraId="61884C7D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Finalități de studiu</w:t>
            </w:r>
          </w:p>
        </w:tc>
        <w:tc>
          <w:tcPr>
            <w:tcW w:w="7006" w:type="dxa"/>
            <w:gridSpan w:val="4"/>
          </w:tcPr>
          <w:p w14:paraId="44EB4CD3" w14:textId="77777777" w:rsidR="00C3603A" w:rsidRDefault="00C3603A" w:rsidP="00C3603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definească în limba străină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noţiuni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procese din domeniul AMG;</w:t>
            </w:r>
          </w:p>
          <w:p w14:paraId="11EF0655" w14:textId="77777777" w:rsidR="00C3603A" w:rsidRDefault="00C3603A" w:rsidP="00C3603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traducă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să explice în limba străină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noţiuni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termeni ce se referă la disciplina AMG;</w:t>
            </w:r>
          </w:p>
          <w:p w14:paraId="19D2AFE4" w14:textId="77777777" w:rsidR="00C3603A" w:rsidRDefault="00C3603A" w:rsidP="00C3603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lastRenderedPageBreak/>
              <w:t xml:space="preserve">sa clarifice principii, concepte, teorii legate de AMG; </w:t>
            </w:r>
          </w:p>
          <w:p w14:paraId="42B27C78" w14:textId="77777777" w:rsidR="00C3603A" w:rsidRDefault="00C3603A" w:rsidP="00C3603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relateze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să ilustreze în limba străină evenimente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procese din domeniul AMG;  </w:t>
            </w:r>
          </w:p>
          <w:p w14:paraId="545DDBBD" w14:textId="77777777" w:rsidR="00C3603A" w:rsidRDefault="00C3603A" w:rsidP="00C3603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însuşească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terminologia din domeniul AMG în limba străină;</w:t>
            </w:r>
          </w:p>
          <w:p w14:paraId="2FC3BAD3" w14:textId="77777777" w:rsidR="00C3603A" w:rsidRDefault="00C3603A" w:rsidP="00C3603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să aplice corect termenii medicali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pronunţare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ortografie);</w:t>
            </w:r>
          </w:p>
          <w:p w14:paraId="02E31057" w14:textId="77777777" w:rsidR="00C3603A" w:rsidRDefault="00C3603A" w:rsidP="00C3603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demonstreze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dexterităţi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de formare a termenilor medicali în limba străină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să explice sensurile acestora;</w:t>
            </w:r>
          </w:p>
          <w:p w14:paraId="5BF68B5B" w14:textId="77777777" w:rsidR="00C3603A" w:rsidRDefault="00C3603A" w:rsidP="00C3603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aleagă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să implementeze principiile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procedeele de formare a termenilor medicali în limba străină;</w:t>
            </w:r>
          </w:p>
          <w:p w14:paraId="1C4D1348" w14:textId="77777777" w:rsidR="00C3603A" w:rsidRDefault="00C3603A" w:rsidP="00C3603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aleagă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să opereze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modalităţile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procedeele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îmbogăţire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 vocabularului;</w:t>
            </w:r>
          </w:p>
          <w:p w14:paraId="53E966E1" w14:textId="77777777" w:rsidR="00C3603A" w:rsidRDefault="00C3603A" w:rsidP="00C3603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opereze corect diverse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situaţii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de comunicare din mediul spitalicesc;</w:t>
            </w:r>
          </w:p>
          <w:p w14:paraId="3C1CA8A5" w14:textId="77777777" w:rsidR="00C3603A" w:rsidRDefault="00C3603A" w:rsidP="00C3603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dialogheze în baza diferitor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situaţii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cu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conţinut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 medical;</w:t>
            </w:r>
          </w:p>
          <w:p w14:paraId="327E92CA" w14:textId="77777777" w:rsidR="00C3603A" w:rsidRDefault="00C3603A" w:rsidP="00C3603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aplice corect întrebările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răspunsurile pentru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consultaţie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medicală;</w:t>
            </w:r>
          </w:p>
          <w:p w14:paraId="3CD228D9" w14:textId="77777777" w:rsidR="00C3603A" w:rsidRDefault="00C3603A" w:rsidP="00C3603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să completeze corect documente medicale</w:t>
            </w:r>
          </w:p>
          <w:p w14:paraId="6575E206" w14:textId="77777777" w:rsidR="00C3603A" w:rsidRDefault="00C3603A" w:rsidP="00C3603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aplice corect abrevierile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simbolurile terminologiei medicale în limba străină;</w:t>
            </w:r>
          </w:p>
          <w:p w14:paraId="766CEE2C" w14:textId="77777777" w:rsidR="00C3603A" w:rsidRDefault="00C3603A" w:rsidP="00C3603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folosească principiul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conversaţiei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medicale;</w:t>
            </w:r>
          </w:p>
          <w:p w14:paraId="4BFA00B3" w14:textId="77777777" w:rsidR="00C3603A" w:rsidRDefault="00C3603A" w:rsidP="00C3603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explice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conţinutul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prospectelor medicamentelor în limba străină;</w:t>
            </w:r>
            <w:bookmarkStart w:id="1" w:name="OLE_LINK2"/>
            <w:bookmarkStart w:id="2" w:name="OLE_LINK1"/>
          </w:p>
          <w:p w14:paraId="50F9B076" w14:textId="77777777" w:rsidR="00C3603A" w:rsidRDefault="00C3603A" w:rsidP="00C3603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creeze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situaţii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planuri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acţiune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în contextul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referinţă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;</w:t>
            </w:r>
          </w:p>
          <w:p w14:paraId="15F38C1E" w14:textId="77777777" w:rsidR="00C3603A" w:rsidRDefault="00C3603A" w:rsidP="00C3603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elaboreze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concepţie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a sistemului medical în Moldova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perspectivele dezvoltării lui;</w:t>
            </w:r>
          </w:p>
          <w:p w14:paraId="3B5307EE" w14:textId="77777777" w:rsidR="00C3603A" w:rsidRDefault="00C3603A" w:rsidP="00C3603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să participe la congrese, conferințe, seminare naționale și internaționale;</w:t>
            </w:r>
          </w:p>
          <w:p w14:paraId="7B6415AA" w14:textId="77777777" w:rsidR="00C3603A" w:rsidRDefault="00C3603A" w:rsidP="00C3603A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aprecieze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importanţa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studierii terminologiei medicale în limba străină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impactul progreselor medicinei  asupra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evoluţiei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vieţii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umane;</w:t>
            </w:r>
          </w:p>
          <w:p w14:paraId="1F84921D" w14:textId="6EF3CB5A" w:rsidR="000B7EA4" w:rsidRPr="00410A34" w:rsidRDefault="00C3603A" w:rsidP="00410A34">
            <w:pPr>
              <w:pStyle w:val="ListParagraph"/>
              <w:numPr>
                <w:ilvl w:val="0"/>
                <w:numId w:val="9"/>
              </w:num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să determine rolul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personalităţii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 xml:space="preserve"> în promovarea modelului de specialist în medicină.</w:t>
            </w:r>
            <w:bookmarkEnd w:id="1"/>
            <w:bookmarkEnd w:id="2"/>
          </w:p>
        </w:tc>
      </w:tr>
      <w:tr w:rsidR="000B7EA4" w:rsidRPr="003858CE" w14:paraId="0294CCB8" w14:textId="77777777" w:rsidTr="00FA18A8">
        <w:tc>
          <w:tcPr>
            <w:tcW w:w="2339" w:type="dxa"/>
          </w:tcPr>
          <w:p w14:paraId="08FAB3D2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Manopere practice achiziționate</w:t>
            </w:r>
          </w:p>
        </w:tc>
        <w:tc>
          <w:tcPr>
            <w:tcW w:w="7006" w:type="dxa"/>
            <w:gridSpan w:val="4"/>
          </w:tcPr>
          <w:p w14:paraId="14D1328B" w14:textId="77777777" w:rsidR="00C3603A" w:rsidRDefault="00C3603A" w:rsidP="00C3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dezvolte capacități de selectare, sintetizare, reproducere și rezumare a unui text de specialitate,</w:t>
            </w:r>
          </w:p>
          <w:p w14:paraId="388CBB44" w14:textId="77777777" w:rsidR="00C3603A" w:rsidRDefault="00C3603A" w:rsidP="00C3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aplice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deprideri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exprimare scrisă și orală în contextul comunicării medic / pacient, medic/ medic,</w:t>
            </w:r>
          </w:p>
          <w:p w14:paraId="09F8DF19" w14:textId="77777777" w:rsidR="00C3603A" w:rsidRDefault="00C3603A" w:rsidP="00C3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dezvolte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competenţe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comprehensiune a materialelor autentice audio/video în cadrul orelor de limbă engleză, franceza,</w:t>
            </w:r>
          </w:p>
          <w:p w14:paraId="2B9368D2" w14:textId="77777777" w:rsidR="00C3603A" w:rsidRDefault="00C3603A" w:rsidP="00C3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creeze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să implementeze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cunoştinţeledobândite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în cadrul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sarcinilor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proiectelor de curs;</w:t>
            </w:r>
          </w:p>
          <w:p w14:paraId="5129169B" w14:textId="77777777" w:rsidR="00C3603A" w:rsidRDefault="00C3603A" w:rsidP="00C3603A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să implementeze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informaţii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, idei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opinii specifice  domeniului în activitatea profesională și în viața cotidiană,</w:t>
            </w:r>
          </w:p>
          <w:p w14:paraId="4C15FCEC" w14:textId="2FB441FE" w:rsidR="000B7EA4" w:rsidRPr="00410A34" w:rsidRDefault="00C3603A" w:rsidP="00826578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să participe în cadrul diverselor congrese, conferințe, seminare naționale și internaționale.</w:t>
            </w:r>
          </w:p>
        </w:tc>
      </w:tr>
      <w:tr w:rsidR="000B7EA4" w:rsidRPr="003858CE" w14:paraId="44673536" w14:textId="77777777" w:rsidTr="00FA18A8">
        <w:tc>
          <w:tcPr>
            <w:tcW w:w="2339" w:type="dxa"/>
            <w:shd w:val="clear" w:color="auto" w:fill="DEEAF6" w:themeFill="accent1" w:themeFillTint="33"/>
          </w:tcPr>
          <w:p w14:paraId="217E604C" w14:textId="77777777" w:rsidR="000B7EA4" w:rsidRPr="003858CE" w:rsidRDefault="000B7EA4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3858C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Forma de evaluare</w:t>
            </w:r>
          </w:p>
        </w:tc>
        <w:tc>
          <w:tcPr>
            <w:tcW w:w="7006" w:type="dxa"/>
            <w:gridSpan w:val="4"/>
          </w:tcPr>
          <w:p w14:paraId="084118F5" w14:textId="77777777" w:rsidR="000B7EA4" w:rsidRPr="003858CE" w:rsidRDefault="00980EF5" w:rsidP="0082657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Examen</w:t>
            </w:r>
            <w:r w:rsidR="00030C8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 Examen</w:t>
            </w:r>
          </w:p>
        </w:tc>
      </w:tr>
      <w:bookmarkEnd w:id="0"/>
    </w:tbl>
    <w:p w14:paraId="46713A06" w14:textId="77777777" w:rsidR="000B7EA4" w:rsidRDefault="000B7EA4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0CBD71E" w14:textId="77777777" w:rsidR="00030C87" w:rsidRDefault="00030C87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270852B2" w14:textId="77777777" w:rsidR="00086B9E" w:rsidRDefault="00086B9E" w:rsidP="000B7EA4">
      <w:pPr>
        <w:rPr>
          <w:rFonts w:ascii="Times New Roman" w:hAnsi="Times New Roman" w:cs="Times New Roman"/>
          <w:sz w:val="24"/>
          <w:szCs w:val="24"/>
          <w:lang w:val="fr-FR"/>
        </w:rPr>
      </w:pPr>
    </w:p>
    <w:p w14:paraId="0559445F" w14:textId="77777777" w:rsidR="000B7EA4" w:rsidRDefault="000B7EA4">
      <w:pPr>
        <w:rPr>
          <w:rFonts w:ascii="Times New Roman" w:hAnsi="Times New Roman" w:cs="Times New Roman"/>
          <w:sz w:val="24"/>
          <w:szCs w:val="24"/>
        </w:rPr>
      </w:pPr>
    </w:p>
    <w:p w14:paraId="4CA096FD" w14:textId="77777777" w:rsidR="000B7EA4" w:rsidRDefault="000B7EA4">
      <w:pPr>
        <w:rPr>
          <w:rFonts w:ascii="Times New Roman" w:hAnsi="Times New Roman" w:cs="Times New Roman"/>
          <w:sz w:val="24"/>
          <w:szCs w:val="24"/>
        </w:rPr>
      </w:pPr>
    </w:p>
    <w:p w14:paraId="47CD3905" w14:textId="77777777" w:rsidR="000B7EA4" w:rsidRDefault="000B7EA4">
      <w:pPr>
        <w:rPr>
          <w:rFonts w:ascii="Times New Roman" w:hAnsi="Times New Roman" w:cs="Times New Roman"/>
          <w:sz w:val="24"/>
          <w:szCs w:val="24"/>
        </w:rPr>
      </w:pPr>
    </w:p>
    <w:p w14:paraId="27115387" w14:textId="77777777" w:rsidR="000B7EA4" w:rsidRDefault="000B7EA4">
      <w:pPr>
        <w:rPr>
          <w:rFonts w:ascii="Times New Roman" w:hAnsi="Times New Roman" w:cs="Times New Roman"/>
          <w:sz w:val="24"/>
          <w:szCs w:val="24"/>
        </w:rPr>
      </w:pPr>
    </w:p>
    <w:p w14:paraId="5EBE2C4C" w14:textId="77777777" w:rsidR="000B7EA4" w:rsidRPr="007C6698" w:rsidRDefault="000B7EA4">
      <w:pPr>
        <w:rPr>
          <w:rFonts w:ascii="Times New Roman" w:hAnsi="Times New Roman" w:cs="Times New Roman"/>
          <w:sz w:val="24"/>
          <w:szCs w:val="24"/>
        </w:rPr>
      </w:pPr>
    </w:p>
    <w:p w14:paraId="40B639AC" w14:textId="77777777" w:rsidR="00FF70A1" w:rsidRPr="007C6698" w:rsidRDefault="00FF70A1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FF70A1" w:rsidRPr="007C6698" w:rsidSect="00AC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94F32"/>
    <w:multiLevelType w:val="hybridMultilevel"/>
    <w:tmpl w:val="F36C17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57FEC"/>
    <w:multiLevelType w:val="hybridMultilevel"/>
    <w:tmpl w:val="92B84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C5363"/>
    <w:multiLevelType w:val="hybridMultilevel"/>
    <w:tmpl w:val="4950155E"/>
    <w:lvl w:ilvl="0" w:tplc="B1B04D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EBE20C2"/>
    <w:multiLevelType w:val="hybridMultilevel"/>
    <w:tmpl w:val="3EC8C974"/>
    <w:lvl w:ilvl="0" w:tplc="CB703F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3B0"/>
    <w:rsid w:val="000155DF"/>
    <w:rsid w:val="00030C87"/>
    <w:rsid w:val="00035963"/>
    <w:rsid w:val="00045990"/>
    <w:rsid w:val="00055C91"/>
    <w:rsid w:val="00086B9E"/>
    <w:rsid w:val="0009359B"/>
    <w:rsid w:val="000B7EA4"/>
    <w:rsid w:val="000C78CA"/>
    <w:rsid w:val="001433F3"/>
    <w:rsid w:val="00167E9E"/>
    <w:rsid w:val="001B7667"/>
    <w:rsid w:val="00347E2D"/>
    <w:rsid w:val="003858CE"/>
    <w:rsid w:val="00410A34"/>
    <w:rsid w:val="004710AD"/>
    <w:rsid w:val="005175AC"/>
    <w:rsid w:val="006337BF"/>
    <w:rsid w:val="006B7BBE"/>
    <w:rsid w:val="007939FF"/>
    <w:rsid w:val="007C6698"/>
    <w:rsid w:val="007D18F2"/>
    <w:rsid w:val="00826578"/>
    <w:rsid w:val="00893506"/>
    <w:rsid w:val="00894BD1"/>
    <w:rsid w:val="00965867"/>
    <w:rsid w:val="00976A5E"/>
    <w:rsid w:val="00980EF5"/>
    <w:rsid w:val="00A403F6"/>
    <w:rsid w:val="00AC6F53"/>
    <w:rsid w:val="00B04142"/>
    <w:rsid w:val="00B119F2"/>
    <w:rsid w:val="00B47DD1"/>
    <w:rsid w:val="00BE6FF3"/>
    <w:rsid w:val="00C3603A"/>
    <w:rsid w:val="00C51974"/>
    <w:rsid w:val="00CB44CC"/>
    <w:rsid w:val="00D36A79"/>
    <w:rsid w:val="00D67F6D"/>
    <w:rsid w:val="00DA3031"/>
    <w:rsid w:val="00DE53B0"/>
    <w:rsid w:val="00EE45F0"/>
    <w:rsid w:val="00FA18A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CCD8"/>
  <w15:docId w15:val="{50F7ED07-5286-4D8B-9F0F-FC79C679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F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2021-04-05T12:21:00Z</cp:lastPrinted>
  <dcterms:created xsi:type="dcterms:W3CDTF">2021-09-06T06:37:00Z</dcterms:created>
  <dcterms:modified xsi:type="dcterms:W3CDTF">2022-09-12T11:43:00Z</dcterms:modified>
</cp:coreProperties>
</file>