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84"/>
        <w:gridCol w:w="1480"/>
        <w:gridCol w:w="851"/>
        <w:gridCol w:w="3260"/>
        <w:gridCol w:w="1270"/>
      </w:tblGrid>
      <w:tr w:rsidR="00BF445D" w:rsidRPr="00BF445D" w14:paraId="4719DAC6" w14:textId="77777777" w:rsidTr="009C446B">
        <w:tc>
          <w:tcPr>
            <w:tcW w:w="2484" w:type="dxa"/>
            <w:shd w:val="clear" w:color="auto" w:fill="DEEAF6" w:themeFill="accent1" w:themeFillTint="33"/>
          </w:tcPr>
          <w:p w14:paraId="47C25657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Name of discipline</w:t>
            </w:r>
          </w:p>
        </w:tc>
        <w:tc>
          <w:tcPr>
            <w:tcW w:w="6861" w:type="dxa"/>
            <w:gridSpan w:val="4"/>
          </w:tcPr>
          <w:p w14:paraId="057726D8" w14:textId="519E2AC1" w:rsidR="00BF445D" w:rsidRPr="00AC406B" w:rsidRDefault="0075756A" w:rsidP="00BF445D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C406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English/French. Nursing</w:t>
            </w:r>
          </w:p>
        </w:tc>
      </w:tr>
      <w:tr w:rsidR="00BF445D" w:rsidRPr="00BF445D" w14:paraId="55B1F7A6" w14:textId="77777777" w:rsidTr="00E56F79">
        <w:tc>
          <w:tcPr>
            <w:tcW w:w="2484" w:type="dxa"/>
          </w:tcPr>
          <w:p w14:paraId="45EAC182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Type</w:t>
            </w:r>
          </w:p>
        </w:tc>
        <w:tc>
          <w:tcPr>
            <w:tcW w:w="2331" w:type="dxa"/>
            <w:gridSpan w:val="2"/>
          </w:tcPr>
          <w:p w14:paraId="5A0E816D" w14:textId="77777777" w:rsidR="00BF445D" w:rsidRPr="00BF445D" w:rsidRDefault="00A70309" w:rsidP="00CB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Compulsory</w:t>
            </w:r>
          </w:p>
        </w:tc>
        <w:tc>
          <w:tcPr>
            <w:tcW w:w="3260" w:type="dxa"/>
          </w:tcPr>
          <w:p w14:paraId="79880D55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Credits</w:t>
            </w:r>
          </w:p>
        </w:tc>
        <w:tc>
          <w:tcPr>
            <w:tcW w:w="1270" w:type="dxa"/>
            <w:vAlign w:val="center"/>
          </w:tcPr>
          <w:p w14:paraId="737474CE" w14:textId="77777777" w:rsidR="00BF445D" w:rsidRPr="00BF445D" w:rsidRDefault="00427701" w:rsidP="004277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2+2</w:t>
            </w:r>
          </w:p>
        </w:tc>
      </w:tr>
      <w:tr w:rsidR="00BF445D" w:rsidRPr="00BF445D" w14:paraId="12193ADB" w14:textId="77777777" w:rsidTr="007973C0">
        <w:tc>
          <w:tcPr>
            <w:tcW w:w="2484" w:type="dxa"/>
          </w:tcPr>
          <w:p w14:paraId="27767C0A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Academic year</w:t>
            </w:r>
          </w:p>
        </w:tc>
        <w:tc>
          <w:tcPr>
            <w:tcW w:w="2331" w:type="dxa"/>
            <w:gridSpan w:val="2"/>
          </w:tcPr>
          <w:p w14:paraId="07815238" w14:textId="77777777" w:rsidR="00BF445D" w:rsidRPr="00BF445D" w:rsidRDefault="00CB51C9" w:rsidP="00CB51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I</w:t>
            </w:r>
          </w:p>
        </w:tc>
        <w:tc>
          <w:tcPr>
            <w:tcW w:w="3260" w:type="dxa"/>
          </w:tcPr>
          <w:p w14:paraId="073BE5DF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Semest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BD553C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1270" w:type="dxa"/>
            <w:vAlign w:val="center"/>
          </w:tcPr>
          <w:p w14:paraId="1FEE3FFB" w14:textId="77777777" w:rsidR="00BF445D" w:rsidRPr="00BF445D" w:rsidRDefault="00871F46" w:rsidP="003915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I-II</w:t>
            </w:r>
          </w:p>
        </w:tc>
      </w:tr>
      <w:tr w:rsidR="00BF445D" w:rsidRPr="00BF445D" w14:paraId="1823C2C8" w14:textId="77777777" w:rsidTr="00E56F79">
        <w:tc>
          <w:tcPr>
            <w:tcW w:w="2484" w:type="dxa"/>
            <w:vMerge w:val="restart"/>
          </w:tcPr>
          <w:p w14:paraId="6CF39FA6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Number of hours</w:t>
            </w:r>
          </w:p>
        </w:tc>
        <w:tc>
          <w:tcPr>
            <w:tcW w:w="1480" w:type="dxa"/>
          </w:tcPr>
          <w:p w14:paraId="59409711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ourse</w:t>
            </w:r>
          </w:p>
        </w:tc>
        <w:tc>
          <w:tcPr>
            <w:tcW w:w="851" w:type="dxa"/>
            <w:vAlign w:val="center"/>
          </w:tcPr>
          <w:p w14:paraId="1DF05972" w14:textId="77777777" w:rsidR="00BF445D" w:rsidRPr="00BF445D" w:rsidRDefault="00BF445D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14:paraId="28A41DF7" w14:textId="77777777" w:rsidR="00BF445D" w:rsidRPr="00BF445D" w:rsidRDefault="00BF445D" w:rsidP="00BD55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ractice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</w:t>
            </w:r>
          </w:p>
        </w:tc>
        <w:tc>
          <w:tcPr>
            <w:tcW w:w="1270" w:type="dxa"/>
            <w:vAlign w:val="center"/>
          </w:tcPr>
          <w:p w14:paraId="3B1E655F" w14:textId="77777777" w:rsidR="00BF445D" w:rsidRPr="00BF445D" w:rsidRDefault="00BF445D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445D" w:rsidRPr="00BF445D" w14:paraId="7D614C00" w14:textId="77777777" w:rsidTr="00E56F79">
        <w:tc>
          <w:tcPr>
            <w:tcW w:w="2484" w:type="dxa"/>
            <w:vMerge/>
          </w:tcPr>
          <w:p w14:paraId="2EF44142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0" w:type="dxa"/>
          </w:tcPr>
          <w:p w14:paraId="6B784935" w14:textId="20458B8B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24"/>
              </w:rPr>
              <w:t>Seminar</w:t>
            </w:r>
            <w:r w:rsidR="004011E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851" w:type="dxa"/>
            <w:vAlign w:val="center"/>
          </w:tcPr>
          <w:p w14:paraId="009D53FE" w14:textId="77777777" w:rsidR="00BF445D" w:rsidRPr="00BF445D" w:rsidRDefault="008429DC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30+30</w:t>
            </w:r>
          </w:p>
        </w:tc>
        <w:tc>
          <w:tcPr>
            <w:tcW w:w="3260" w:type="dxa"/>
          </w:tcPr>
          <w:p w14:paraId="2EABF3BE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Self</w:t>
            </w:r>
            <w:r w:rsidR="00B56CC9">
              <w:rPr>
                <w:rFonts w:ascii="Times New Roman" w:hAnsi="Times New Roman" w:cs="Times New Roman"/>
                <w:sz w:val="24"/>
                <w:szCs w:val="24"/>
              </w:rPr>
              <w:t>-training</w:t>
            </w:r>
          </w:p>
        </w:tc>
        <w:tc>
          <w:tcPr>
            <w:tcW w:w="1270" w:type="dxa"/>
            <w:vAlign w:val="center"/>
          </w:tcPr>
          <w:p w14:paraId="15B289E8" w14:textId="77777777" w:rsidR="00BF445D" w:rsidRPr="00BF445D" w:rsidRDefault="008429DC" w:rsidP="00BF44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30+30</w:t>
            </w:r>
          </w:p>
        </w:tc>
      </w:tr>
      <w:tr w:rsidR="00BF445D" w:rsidRPr="00BF445D" w14:paraId="4B9C2C96" w14:textId="77777777" w:rsidTr="0030479C">
        <w:tc>
          <w:tcPr>
            <w:tcW w:w="2484" w:type="dxa"/>
          </w:tcPr>
          <w:p w14:paraId="18ADA5D5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Component</w:t>
            </w:r>
          </w:p>
        </w:tc>
        <w:tc>
          <w:tcPr>
            <w:tcW w:w="6861" w:type="dxa"/>
            <w:gridSpan w:val="4"/>
          </w:tcPr>
          <w:p w14:paraId="58BFA7FB" w14:textId="77777777" w:rsidR="00BF445D" w:rsidRPr="00BF445D" w:rsidRDefault="00A70309" w:rsidP="00CB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0309">
              <w:rPr>
                <w:rFonts w:ascii="Times New Roman" w:hAnsi="Times New Roman" w:cs="Times New Roman"/>
                <w:sz w:val="24"/>
                <w:szCs w:val="24"/>
              </w:rPr>
              <w:t>Socio-human orientation</w:t>
            </w:r>
          </w:p>
        </w:tc>
      </w:tr>
      <w:tr w:rsidR="00BF445D" w:rsidRPr="00BF445D" w14:paraId="6EC8C24E" w14:textId="77777777" w:rsidTr="0030479C">
        <w:tc>
          <w:tcPr>
            <w:tcW w:w="2484" w:type="dxa"/>
          </w:tcPr>
          <w:p w14:paraId="41675F9E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Course holder</w:t>
            </w:r>
          </w:p>
        </w:tc>
        <w:tc>
          <w:tcPr>
            <w:tcW w:w="6861" w:type="dxa"/>
            <w:gridSpan w:val="4"/>
          </w:tcPr>
          <w:p w14:paraId="35CC042B" w14:textId="77777777" w:rsidR="00BF445D" w:rsidRPr="00BF445D" w:rsidRDefault="00CB51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18"/>
              </w:rPr>
              <w:t>Viorica Cazac/V</w:t>
            </w:r>
            <w:r w:rsidR="00BA4FD6">
              <w:rPr>
                <w:rFonts w:ascii="Times New Roman" w:hAnsi="Times New Roman" w:cs="Times New Roman"/>
                <w:sz w:val="24"/>
                <w:szCs w:val="18"/>
              </w:rPr>
              <w:t>eronica V</w:t>
            </w:r>
            <w:r>
              <w:rPr>
                <w:rFonts w:ascii="Times New Roman" w:hAnsi="Times New Roman" w:cs="Times New Roman"/>
                <w:sz w:val="24"/>
                <w:szCs w:val="18"/>
              </w:rPr>
              <w:t>olosciuc</w:t>
            </w:r>
          </w:p>
        </w:tc>
      </w:tr>
      <w:tr w:rsidR="00BF445D" w:rsidRPr="00BF445D" w14:paraId="3131CBB1" w14:textId="77777777" w:rsidTr="0030479C">
        <w:tc>
          <w:tcPr>
            <w:tcW w:w="2484" w:type="dxa"/>
          </w:tcPr>
          <w:p w14:paraId="26D31EA0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 xml:space="preserve">Location </w:t>
            </w:r>
          </w:p>
        </w:tc>
        <w:tc>
          <w:tcPr>
            <w:tcW w:w="6861" w:type="dxa"/>
            <w:gridSpan w:val="4"/>
          </w:tcPr>
          <w:p w14:paraId="0C4AB65F" w14:textId="77777777" w:rsidR="00CB51C9" w:rsidRPr="00CB51C9" w:rsidRDefault="00CB51C9" w:rsidP="00CB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CB51C9">
              <w:rPr>
                <w:rFonts w:ascii="Times New Roman" w:hAnsi="Times New Roman" w:cs="Times New Roman"/>
                <w:sz w:val="24"/>
                <w:szCs w:val="24"/>
              </w:rPr>
              <w:t>lock no. 3,</w:t>
            </w:r>
            <w:r w:rsidR="00733D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B51C9">
              <w:rPr>
                <w:rFonts w:ascii="Times New Roman" w:hAnsi="Times New Roman" w:cs="Times New Roman"/>
                <w:sz w:val="24"/>
                <w:szCs w:val="24"/>
              </w:rPr>
              <w:t xml:space="preserve">Ştefan cel Mare şi Sfânt 194A bd. </w:t>
            </w:r>
          </w:p>
          <w:p w14:paraId="2943109D" w14:textId="77777777" w:rsidR="00CB51C9" w:rsidRPr="00CB51C9" w:rsidRDefault="00CB51C9" w:rsidP="00CB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C9">
              <w:rPr>
                <w:rFonts w:ascii="Times New Roman" w:hAnsi="Times New Roman" w:cs="Times New Roman"/>
                <w:sz w:val="24"/>
                <w:szCs w:val="24"/>
              </w:rPr>
              <w:t>mun. Chisinau, MD-2004, Republic of Moldova</w:t>
            </w:r>
          </w:p>
          <w:p w14:paraId="0CE1100F" w14:textId="77777777" w:rsidR="00BF445D" w:rsidRPr="00BF445D" w:rsidRDefault="00CB51C9" w:rsidP="00CB51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51C9">
              <w:rPr>
                <w:rFonts w:ascii="Times New Roman" w:hAnsi="Times New Roman" w:cs="Times New Roman"/>
                <w:sz w:val="24"/>
                <w:szCs w:val="24"/>
              </w:rPr>
              <w:t>(+373) 22 205 204</w:t>
            </w:r>
          </w:p>
        </w:tc>
      </w:tr>
      <w:tr w:rsidR="00BF445D" w:rsidRPr="00BF445D" w14:paraId="73A6D9F3" w14:textId="77777777" w:rsidTr="0030479C">
        <w:tc>
          <w:tcPr>
            <w:tcW w:w="2484" w:type="dxa"/>
            <w:vMerge w:val="restart"/>
          </w:tcPr>
          <w:p w14:paraId="5E6020A3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Conditionings and prerequisites of:</w:t>
            </w:r>
          </w:p>
        </w:tc>
        <w:tc>
          <w:tcPr>
            <w:tcW w:w="6861" w:type="dxa"/>
            <w:gridSpan w:val="4"/>
          </w:tcPr>
          <w:p w14:paraId="28D0F72A" w14:textId="77777777" w:rsidR="00BF445D" w:rsidRPr="00BF445D" w:rsidRDefault="005A7CA8" w:rsidP="0064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8">
              <w:rPr>
                <w:rFonts w:ascii="Times New Roman" w:hAnsi="Times New Roman" w:cs="Times New Roman"/>
                <w:sz w:val="24"/>
                <w:szCs w:val="24"/>
              </w:rPr>
              <w:t>The study of specialized languages provide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 by the lowest level</w:t>
            </w:r>
            <w:r w:rsidRPr="005A7CA8">
              <w:rPr>
                <w:rFonts w:ascii="Times New Roman" w:hAnsi="Times New Roman" w:cs="Times New Roman"/>
                <w:sz w:val="24"/>
                <w:szCs w:val="24"/>
              </w:rPr>
              <w:t xml:space="preserve"> A2-B1 of knowledge of foreign languages according to CE</w:t>
            </w:r>
            <w:r w:rsidR="0064729C">
              <w:rPr>
                <w:rFonts w:ascii="Times New Roman" w:hAnsi="Times New Roman" w:cs="Times New Roman"/>
                <w:sz w:val="24"/>
                <w:szCs w:val="24"/>
              </w:rPr>
              <w:t>CRL</w:t>
            </w:r>
            <w:r w:rsidRPr="005A7CA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45D" w:rsidRPr="00BF445D" w14:paraId="49AC7376" w14:textId="77777777" w:rsidTr="0030479C">
        <w:tc>
          <w:tcPr>
            <w:tcW w:w="2484" w:type="dxa"/>
            <w:vMerge/>
          </w:tcPr>
          <w:p w14:paraId="63043B5B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61" w:type="dxa"/>
            <w:gridSpan w:val="4"/>
          </w:tcPr>
          <w:p w14:paraId="34660A78" w14:textId="05EA6E94" w:rsidR="00BF445D" w:rsidRPr="00BF445D" w:rsidRDefault="005A7CA8" w:rsidP="006472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7CA8">
              <w:rPr>
                <w:rFonts w:ascii="Times New Roman" w:hAnsi="Times New Roman" w:cs="Times New Roman"/>
                <w:iCs/>
                <w:sz w:val="24"/>
                <w:szCs w:val="18"/>
              </w:rPr>
              <w:t>Minimum level of knowledge of A2-B1-level languages according to CE</w:t>
            </w:r>
            <w:r w:rsidR="0064729C">
              <w:rPr>
                <w:rFonts w:ascii="Times New Roman" w:hAnsi="Times New Roman" w:cs="Times New Roman"/>
                <w:iCs/>
                <w:sz w:val="24"/>
                <w:szCs w:val="18"/>
              </w:rPr>
              <w:t>CRL</w:t>
            </w:r>
            <w:r>
              <w:rPr>
                <w:rFonts w:ascii="Times New Roman" w:hAnsi="Times New Roman" w:cs="Times New Roman"/>
                <w:iCs/>
                <w:sz w:val="24"/>
                <w:szCs w:val="18"/>
              </w:rPr>
              <w:t xml:space="preserve"> levels</w:t>
            </w:r>
            <w:r w:rsidRPr="005A7CA8">
              <w:rPr>
                <w:rFonts w:ascii="Times New Roman" w:hAnsi="Times New Roman" w:cs="Times New Roman"/>
                <w:iCs/>
                <w:sz w:val="24"/>
                <w:szCs w:val="18"/>
              </w:rPr>
              <w:t>; digital competences; ability to communicate and work in a team</w:t>
            </w:r>
            <w:r w:rsidR="004011E4">
              <w:rPr>
                <w:rFonts w:ascii="Times New Roman" w:hAnsi="Times New Roman" w:cs="Times New Roman"/>
                <w:iCs/>
                <w:sz w:val="24"/>
                <w:szCs w:val="18"/>
              </w:rPr>
              <w:t>.</w:t>
            </w:r>
          </w:p>
        </w:tc>
      </w:tr>
      <w:tr w:rsidR="00BF445D" w:rsidRPr="00BF445D" w14:paraId="5842E2D6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77D655D9" w14:textId="77777777" w:rsidR="00BF445D" w:rsidRPr="00BF445D" w:rsidRDefault="00BF445D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445D">
              <w:rPr>
                <w:rFonts w:ascii="Times New Roman" w:hAnsi="Times New Roman" w:cs="Times New Roman"/>
                <w:sz w:val="24"/>
                <w:szCs w:val="18"/>
              </w:rPr>
              <w:t>Mission of the discipline</w:t>
            </w:r>
          </w:p>
        </w:tc>
        <w:tc>
          <w:tcPr>
            <w:tcW w:w="6861" w:type="dxa"/>
            <w:gridSpan w:val="4"/>
          </w:tcPr>
          <w:p w14:paraId="74A859D1" w14:textId="77777777" w:rsidR="00E91FC3" w:rsidRPr="00C40CE8" w:rsidRDefault="00E91FC3" w:rsidP="00E91FC3">
            <w:pP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</w:pP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The discipline </w:t>
            </w:r>
            <w:r w:rsidRPr="00C40C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Modern Languages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​​(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specialized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language), is a practical course, intended for students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to 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practical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ly apply 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and active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vely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use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knowledge in 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professional activity. The course of </w:t>
            </w:r>
            <w:r w:rsidRPr="00C40CE8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o-RO"/>
              </w:rPr>
              <w:t>Modern Languages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​​(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specialized 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language) is oriented towards the formation of the linguistic competences established by the Common European Framework of Reference for Languages ​​/ CECRL /. The course of Modern Languages ​​(terminological language) aims at acquiring the essential medical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specialized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language, training students in solid linguistic skills, necessary for academic mobility, intercultural and professional integration.</w:t>
            </w:r>
          </w:p>
          <w:p w14:paraId="798AAE05" w14:textId="77777777" w:rsidR="00BF445D" w:rsidRPr="00BF445D" w:rsidRDefault="00E91FC3" w:rsidP="00E91FC3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The formative orientation of university education and the vocational training of students are a reference frame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work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for vocational training of specialists in the field of general health care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to 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communicat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e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in a foreign language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worldwide, for cooperate with other specialists in domain of general health care and 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become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a 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>competitive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worker on</w:t>
            </w:r>
            <w:r w:rsidRPr="00C40CE8">
              <w:rPr>
                <w:rFonts w:ascii="Times New Roman" w:hAnsi="Times New Roman" w:cs="Times New Roman"/>
                <w:iCs/>
                <w:sz w:val="24"/>
                <w:szCs w:val="24"/>
                <w:lang w:val="ro-RO"/>
              </w:rPr>
              <w:t xml:space="preserve"> the labor market.</w:t>
            </w:r>
          </w:p>
        </w:tc>
      </w:tr>
      <w:tr w:rsidR="00BF445D" w:rsidRPr="00BF445D" w14:paraId="1A7C8FAD" w14:textId="77777777" w:rsidTr="00E56F79">
        <w:tc>
          <w:tcPr>
            <w:tcW w:w="2484" w:type="dxa"/>
          </w:tcPr>
          <w:p w14:paraId="190510AC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Overview of the topics</w:t>
            </w:r>
          </w:p>
        </w:tc>
        <w:tc>
          <w:tcPr>
            <w:tcW w:w="6861" w:type="dxa"/>
            <w:gridSpan w:val="4"/>
          </w:tcPr>
          <w:p w14:paraId="725D63A8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Introduction. Concepts of patient health and well-</w:t>
            </w:r>
            <w:r w:rsidR="00BD553C" w:rsidRPr="00871F46">
              <w:rPr>
                <w:rFonts w:ascii="Times New Roman" w:hAnsi="Times New Roman" w:cs="Times New Roman"/>
                <w:sz w:val="24"/>
                <w:szCs w:val="24"/>
              </w:rPr>
              <w:t>being. Human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 body. Structure and functions. Concepts about the organ systems.</w:t>
            </w:r>
          </w:p>
          <w:p w14:paraId="03C527AF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Muscular and skeletal system. Types and characteristics of muscles.</w:t>
            </w:r>
          </w:p>
          <w:p w14:paraId="3D901D98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Cardiovascular system. The structure of the heart. Vessel types and </w:t>
            </w:r>
            <w:r w:rsidR="00BD553C" w:rsidRPr="00871F46">
              <w:rPr>
                <w:rFonts w:ascii="Times New Roman" w:hAnsi="Times New Roman" w:cs="Times New Roman"/>
                <w:sz w:val="24"/>
                <w:szCs w:val="24"/>
              </w:rPr>
              <w:t>characteristics. Respiratory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 system. Respiratory deficiencies.</w:t>
            </w:r>
          </w:p>
          <w:p w14:paraId="5CCC32D3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Digestive system. The importance of a healthy and balanced diet.</w:t>
            </w:r>
          </w:p>
          <w:p w14:paraId="20C6A3FE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Nervous system. Central and peripheral nervous system. The medical team. Practitioners and surgeons. </w:t>
            </w:r>
            <w:r w:rsidR="00BD553C" w:rsidRPr="00871F46">
              <w:rPr>
                <w:rFonts w:ascii="Times New Roman" w:hAnsi="Times New Roman" w:cs="Times New Roman"/>
                <w:sz w:val="24"/>
                <w:szCs w:val="24"/>
              </w:rPr>
              <w:t>Teamwork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. General medical care. Student </w:t>
            </w:r>
            <w:r w:rsidR="00BD553C" w:rsidRPr="00871F46">
              <w:rPr>
                <w:rFonts w:ascii="Times New Roman" w:hAnsi="Times New Roman" w:cs="Times New Roman"/>
                <w:sz w:val="24"/>
                <w:szCs w:val="24"/>
              </w:rPr>
              <w:t>profile. Health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 care assistance. Duties and responsibilities.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Patient admission and assessment.  Hospital </w:t>
            </w:r>
            <w:r w:rsidR="00BD553C" w:rsidRPr="00871F46">
              <w:rPr>
                <w:rFonts w:ascii="Times New Roman" w:hAnsi="Times New Roman" w:cs="Times New Roman"/>
                <w:sz w:val="24"/>
                <w:szCs w:val="24"/>
              </w:rPr>
              <w:t>departments. Accidents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 and emergencies. Primary care assistance.</w:t>
            </w:r>
          </w:p>
          <w:p w14:paraId="7F8E0ADB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Types of pain. Pain management.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Major signs and symptoms. Telephone helpline.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D553C" w:rsidRPr="00871F46">
              <w:rPr>
                <w:rFonts w:ascii="Times New Roman" w:hAnsi="Times New Roman" w:cs="Times New Roman"/>
                <w:sz w:val="24"/>
                <w:szCs w:val="24"/>
              </w:rPr>
              <w:t>Palliative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 care.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Signs and symptoms of the disease.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Basic medical investigations: Endoscopy, Radiography, RMI, ECG.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Laboratory tests.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Medical treatment.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Surgical treatment.</w:t>
            </w:r>
          </w:p>
          <w:p w14:paraId="07436D9F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Medication. Types and forms of medication. Doses. Side effects.</w:t>
            </w:r>
          </w:p>
          <w:p w14:paraId="40D11C31" w14:textId="77777777" w:rsidR="00871F46" w:rsidRPr="00871F46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Screening and immunization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Mental health care. Schizophrenia and other mental disorders.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Patient monitoring. The patient in a coma. General anesthesia.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Medication. Types and forms of medication. Doses. Side effects.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Rules on occupational safety, hygiene and safety.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 xml:space="preserve">Ethical aspects in medical practice. Confidentiality and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ethical principles.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Anamnesis. Interviewing the patient.</w:t>
            </w:r>
          </w:p>
          <w:p w14:paraId="31335CD1" w14:textId="77777777" w:rsidR="00871F46" w:rsidRPr="00BF445D" w:rsidRDefault="00871F46" w:rsidP="0087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F46">
              <w:rPr>
                <w:rFonts w:ascii="Times New Roman" w:hAnsi="Times New Roman" w:cs="Times New Roman"/>
                <w:sz w:val="24"/>
                <w:szCs w:val="24"/>
              </w:rPr>
              <w:t>Data presentation. Reading tables, graphs, and test findings.</w:t>
            </w:r>
          </w:p>
        </w:tc>
      </w:tr>
      <w:tr w:rsidR="00BF445D" w:rsidRPr="00BF445D" w14:paraId="5D6E4270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37A099D8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Outcomes </w:t>
            </w:r>
          </w:p>
        </w:tc>
        <w:tc>
          <w:tcPr>
            <w:tcW w:w="6861" w:type="dxa"/>
            <w:gridSpan w:val="4"/>
          </w:tcPr>
          <w:p w14:paraId="273ABD93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• to define the particularities of the general medical language and terminology in the foreign language;</w:t>
            </w:r>
          </w:p>
          <w:p w14:paraId="13877C88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• to identify the specialized symbols and the particularities of the medical language used in the field of general healthcare,</w:t>
            </w:r>
          </w:p>
          <w:p w14:paraId="4FC135DC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• to use the authentic </w:t>
            </w:r>
            <w:r w:rsidR="00F52C89"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specialized 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>anguage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 in communication within the professional activity;</w:t>
            </w:r>
          </w:p>
          <w:p w14:paraId="423C2B90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apply the training mechanisms and the specifics of a professional message or statement;</w:t>
            </w:r>
          </w:p>
          <w:p w14:paraId="196009B5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• to define the grammatical structures characteristic of the foreign language with a professional aspect;</w:t>
            </w:r>
          </w:p>
          <w:p w14:paraId="146128CB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proofErr w:type="gramStart"/>
            <w:r w:rsidR="00F52C89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 identify</w:t>
            </w:r>
            <w:proofErr w:type="gramEnd"/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 the medical language used in the field of general health care for the purpose of further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 xml:space="preserve"> developing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="00F52C89"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oral and written 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>communication skills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6E66A486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• to 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 xml:space="preserve">state the 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basic principles and notions in the field of general healthcare necessary in the subsequent collaboration and participation 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>with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in international conferences / projects;</w:t>
            </w:r>
          </w:p>
          <w:p w14:paraId="72C28C08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• to apply the reading skills of articles (articles), cursive (comprehension of the content of a specialized text), selective (synthesis of information) and total (comprehensive comprehension of the content of the text);</w:t>
            </w:r>
          </w:p>
          <w:p w14:paraId="2C8309B7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• 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>to translate the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 texts, articles, documents, prescriptions into the foreign language;</w:t>
            </w:r>
          </w:p>
          <w:p w14:paraId="3A18803B" w14:textId="77777777" w:rsidR="003915A9" w:rsidRPr="003915A9" w:rsidRDefault="003915A9" w:rsidP="003915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• to </w:t>
            </w:r>
            <w:r w:rsidR="00F52C89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BA4FD6">
              <w:rPr>
                <w:rFonts w:ascii="Times New Roman" w:hAnsi="Times New Roman" w:cs="Times New Roman"/>
                <w:sz w:val="24"/>
                <w:szCs w:val="24"/>
              </w:rPr>
              <w:t xml:space="preserve"> and summarize the main ideas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8FC2D9A" w14:textId="54164AF4" w:rsidR="00BF445D" w:rsidRPr="00BF445D" w:rsidRDefault="003915A9" w:rsidP="00BA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• to develop </w:t>
            </w:r>
            <w:r w:rsidR="00BA4FD6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</w:t>
            </w:r>
            <w:r w:rsidR="00BA4FD6">
              <w:rPr>
                <w:rFonts w:ascii="Times New Roman" w:hAnsi="Times New Roman" w:cs="Times New Roman"/>
                <w:sz w:val="24"/>
                <w:szCs w:val="24"/>
              </w:rPr>
              <w:t xml:space="preserve">in order 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to initiate discussions, dialogues, thematic debates </w:t>
            </w:r>
            <w:r w:rsidR="00BA4FD6">
              <w:rPr>
                <w:rFonts w:ascii="Times New Roman" w:hAnsi="Times New Roman" w:cs="Times New Roman"/>
                <w:sz w:val="24"/>
                <w:szCs w:val="24"/>
              </w:rPr>
              <w:t>on healthcare-related</w:t>
            </w:r>
            <w:r w:rsidRPr="003915A9">
              <w:rPr>
                <w:rFonts w:ascii="Times New Roman" w:hAnsi="Times New Roman" w:cs="Times New Roman"/>
                <w:sz w:val="24"/>
                <w:szCs w:val="24"/>
              </w:rPr>
              <w:t xml:space="preserve"> situations</w:t>
            </w:r>
            <w:r w:rsidR="004011E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F445D" w:rsidRPr="00BF445D" w14:paraId="74D4B8EA" w14:textId="77777777" w:rsidTr="00E56F79">
        <w:tc>
          <w:tcPr>
            <w:tcW w:w="2484" w:type="dxa"/>
          </w:tcPr>
          <w:p w14:paraId="69F7A631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Clinical skills</w:t>
            </w:r>
          </w:p>
        </w:tc>
        <w:tc>
          <w:tcPr>
            <w:tcW w:w="6861" w:type="dxa"/>
            <w:gridSpan w:val="4"/>
          </w:tcPr>
          <w:p w14:paraId="5CAF8808" w14:textId="77777777" w:rsidR="00BA4FD6" w:rsidRPr="00BA4FD6" w:rsidRDefault="00BA4FD6" w:rsidP="00BA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>• to analyze and synthesize information from authentic sources and present it oral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ly</w:t>
            </w: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 xml:space="preserve"> or written form;</w:t>
            </w:r>
          </w:p>
          <w:p w14:paraId="550279C4" w14:textId="77777777" w:rsidR="00BA4FD6" w:rsidRPr="00BA4FD6" w:rsidRDefault="00BA4FD6" w:rsidP="00BA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>• to use knowledge and communication skill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in a professional environment by</w:t>
            </w: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 xml:space="preserve"> using specific health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-related</w:t>
            </w: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 xml:space="preserve"> topics in order to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facilitate</w:t>
            </w: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 xml:space="preserve"> an intercultural and interdisciplinary dialogue;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062C64" w14:textId="77777777" w:rsidR="00BA4FD6" w:rsidRPr="00BA4FD6" w:rsidRDefault="00BA4FD6" w:rsidP="00BA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>• to implement the knowledge acquired in the research / writing activity of some specialized works in the foreign language.</w:t>
            </w:r>
          </w:p>
          <w:p w14:paraId="16E1F084" w14:textId="77777777" w:rsidR="00BF445D" w:rsidRPr="00BF445D" w:rsidRDefault="00BA4FD6" w:rsidP="00BA4F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4FD6">
              <w:rPr>
                <w:rFonts w:ascii="Times New Roman" w:hAnsi="Times New Roman" w:cs="Times New Roman"/>
                <w:sz w:val="24"/>
                <w:szCs w:val="24"/>
              </w:rPr>
              <w:t>• To develop the ability to select, synthesize, reproduce and summarize a specialized text.</w:t>
            </w:r>
          </w:p>
        </w:tc>
      </w:tr>
      <w:tr w:rsidR="00BF445D" w:rsidRPr="00BF445D" w14:paraId="099AA8FE" w14:textId="77777777" w:rsidTr="00E56F79">
        <w:tc>
          <w:tcPr>
            <w:tcW w:w="2484" w:type="dxa"/>
            <w:shd w:val="clear" w:color="auto" w:fill="DEEAF6" w:themeFill="accent1" w:themeFillTint="33"/>
          </w:tcPr>
          <w:p w14:paraId="1FC6D55B" w14:textId="77777777" w:rsidR="00BF445D" w:rsidRPr="00BF445D" w:rsidRDefault="00B56CC9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Evaluation form</w:t>
            </w:r>
          </w:p>
        </w:tc>
        <w:tc>
          <w:tcPr>
            <w:tcW w:w="6861" w:type="dxa"/>
            <w:gridSpan w:val="4"/>
          </w:tcPr>
          <w:p w14:paraId="29F3D0B6" w14:textId="77777777" w:rsidR="00BF445D" w:rsidRPr="00BF445D" w:rsidRDefault="00427701" w:rsidP="00BF44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Exam/</w:t>
            </w:r>
            <w:r w:rsidR="00BA4FD6">
              <w:rPr>
                <w:rFonts w:ascii="Times New Roman" w:hAnsi="Times New Roman" w:cs="Times New Roman"/>
                <w:sz w:val="24"/>
                <w:szCs w:val="24"/>
              </w:rPr>
              <w:t>Exam</w:t>
            </w:r>
          </w:p>
        </w:tc>
      </w:tr>
    </w:tbl>
    <w:p w14:paraId="0D51C7B5" w14:textId="77777777" w:rsidR="00BF445D" w:rsidRPr="00BF445D" w:rsidRDefault="00BF445D"/>
    <w:p w14:paraId="15671D69" w14:textId="77777777" w:rsidR="00BF445D" w:rsidRPr="00BF445D" w:rsidRDefault="00BF445D"/>
    <w:p w14:paraId="2FDFF088" w14:textId="77777777" w:rsidR="00BF445D" w:rsidRPr="00BF445D" w:rsidRDefault="00BF445D"/>
    <w:p w14:paraId="3D1B4B67" w14:textId="77777777" w:rsidR="000B7EA4" w:rsidRPr="00BF445D" w:rsidRDefault="000B7EA4" w:rsidP="000B7EA4">
      <w:pPr>
        <w:rPr>
          <w:rFonts w:ascii="Times New Roman" w:hAnsi="Times New Roman" w:cs="Times New Roman"/>
          <w:sz w:val="24"/>
          <w:szCs w:val="24"/>
        </w:rPr>
      </w:pPr>
    </w:p>
    <w:p w14:paraId="5B287885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p w14:paraId="3AA478CF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p w14:paraId="52BB65A7" w14:textId="77777777" w:rsidR="00086B9E" w:rsidRPr="00BF445D" w:rsidRDefault="00086B9E" w:rsidP="000B7EA4">
      <w:pPr>
        <w:rPr>
          <w:rFonts w:ascii="Times New Roman" w:hAnsi="Times New Roman" w:cs="Times New Roman"/>
          <w:sz w:val="24"/>
          <w:szCs w:val="24"/>
        </w:rPr>
      </w:pPr>
    </w:p>
    <w:sectPr w:rsidR="00086B9E" w:rsidRPr="00BF445D" w:rsidSect="00D45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603A8"/>
    <w:multiLevelType w:val="hybridMultilevel"/>
    <w:tmpl w:val="171609F6"/>
    <w:lvl w:ilvl="0" w:tplc="384C3D5A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411756"/>
    <w:multiLevelType w:val="hybridMultilevel"/>
    <w:tmpl w:val="D38C46C6"/>
    <w:lvl w:ilvl="0" w:tplc="9E56E5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6B89A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3F0B6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A87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C62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D744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E6FF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0BA13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73656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0B747EC"/>
    <w:multiLevelType w:val="hybridMultilevel"/>
    <w:tmpl w:val="55BC7806"/>
    <w:lvl w:ilvl="0" w:tplc="1F0421D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/>
      </w:rPr>
    </w:lvl>
    <w:lvl w:ilvl="1" w:tplc="08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2A0D49"/>
    <w:multiLevelType w:val="hybridMultilevel"/>
    <w:tmpl w:val="086EA598"/>
    <w:lvl w:ilvl="0" w:tplc="2294CE54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DA6916"/>
    <w:multiLevelType w:val="hybridMultilevel"/>
    <w:tmpl w:val="61509FBC"/>
    <w:lvl w:ilvl="0" w:tplc="85D0203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18"/>
      </w:rPr>
    </w:lvl>
    <w:lvl w:ilvl="1" w:tplc="08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8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8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8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8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8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8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8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7EAE27EC"/>
    <w:multiLevelType w:val="hybridMultilevel"/>
    <w:tmpl w:val="9F54C746"/>
    <w:lvl w:ilvl="0" w:tplc="85323C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6A654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01614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A6D09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CE024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B4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2C84D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6E8D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EA7D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0"/>
    <w:rsid w:val="00045990"/>
    <w:rsid w:val="0004602C"/>
    <w:rsid w:val="00086B9E"/>
    <w:rsid w:val="0009359B"/>
    <w:rsid w:val="000B7EA4"/>
    <w:rsid w:val="001B7667"/>
    <w:rsid w:val="001F3EDE"/>
    <w:rsid w:val="00347E2D"/>
    <w:rsid w:val="003915A9"/>
    <w:rsid w:val="004011E4"/>
    <w:rsid w:val="00421FFD"/>
    <w:rsid w:val="00425855"/>
    <w:rsid w:val="00427701"/>
    <w:rsid w:val="004710AD"/>
    <w:rsid w:val="004C6BC5"/>
    <w:rsid w:val="004E28A5"/>
    <w:rsid w:val="00546EB2"/>
    <w:rsid w:val="005A7CA8"/>
    <w:rsid w:val="0064729C"/>
    <w:rsid w:val="00697FDD"/>
    <w:rsid w:val="006B7BBE"/>
    <w:rsid w:val="00733D91"/>
    <w:rsid w:val="0075756A"/>
    <w:rsid w:val="007939FF"/>
    <w:rsid w:val="007C6698"/>
    <w:rsid w:val="007D18F2"/>
    <w:rsid w:val="00806646"/>
    <w:rsid w:val="008429DC"/>
    <w:rsid w:val="00871F46"/>
    <w:rsid w:val="00893506"/>
    <w:rsid w:val="00A21A24"/>
    <w:rsid w:val="00A70309"/>
    <w:rsid w:val="00A847A2"/>
    <w:rsid w:val="00AC406B"/>
    <w:rsid w:val="00B36DB0"/>
    <w:rsid w:val="00B56CC9"/>
    <w:rsid w:val="00BA323A"/>
    <w:rsid w:val="00BA4FD6"/>
    <w:rsid w:val="00BD553C"/>
    <w:rsid w:val="00BE6FF3"/>
    <w:rsid w:val="00BF445D"/>
    <w:rsid w:val="00C16E01"/>
    <w:rsid w:val="00CA297B"/>
    <w:rsid w:val="00CB44CC"/>
    <w:rsid w:val="00CB51C9"/>
    <w:rsid w:val="00D45FDA"/>
    <w:rsid w:val="00D67F6D"/>
    <w:rsid w:val="00DC7D3D"/>
    <w:rsid w:val="00DE53B0"/>
    <w:rsid w:val="00E70347"/>
    <w:rsid w:val="00E91FC3"/>
    <w:rsid w:val="00EE45F0"/>
    <w:rsid w:val="00F52C89"/>
    <w:rsid w:val="00FF7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D6F17"/>
  <w15:docId w15:val="{A68BB079-9876-4BB8-8AEE-D9C1E678C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5F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70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B7B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B7B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6B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6B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7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4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22988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547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295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0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4422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4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02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5243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5682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20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443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00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45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341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99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1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335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119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0822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2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946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4636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8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2199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17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0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CtrlSoft</Company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10</cp:revision>
  <cp:lastPrinted>2021-04-05T12:21:00Z</cp:lastPrinted>
  <dcterms:created xsi:type="dcterms:W3CDTF">2021-09-06T06:38:00Z</dcterms:created>
  <dcterms:modified xsi:type="dcterms:W3CDTF">2022-09-12T11:44:00Z</dcterms:modified>
</cp:coreProperties>
</file>