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99ED" w14:textId="77777777" w:rsidR="000B7EA4" w:rsidRDefault="000B7E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290"/>
        <w:gridCol w:w="1232"/>
        <w:gridCol w:w="3119"/>
        <w:gridCol w:w="1041"/>
      </w:tblGrid>
      <w:tr w:rsidR="000B7EA4" w:rsidRPr="00E22DE3" w14:paraId="3ACB757B" w14:textId="77777777" w:rsidTr="00163F52">
        <w:trPr>
          <w:trHeight w:val="278"/>
        </w:trPr>
        <w:tc>
          <w:tcPr>
            <w:tcW w:w="2689" w:type="dxa"/>
            <w:shd w:val="clear" w:color="auto" w:fill="DEEAF6" w:themeFill="accent1" w:themeFillTint="33"/>
          </w:tcPr>
          <w:p w14:paraId="6E290E48" w14:textId="77777777" w:rsidR="000B7EA4" w:rsidRPr="000C67F5" w:rsidRDefault="000B7EA4" w:rsidP="00163F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Denumirea disciplinei</w:t>
            </w:r>
            <w:r w:rsidR="00335FF9"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82" w:type="dxa"/>
            <w:gridSpan w:val="4"/>
          </w:tcPr>
          <w:p w14:paraId="3815E3A8" w14:textId="6AED745D" w:rsidR="000B7EA4" w:rsidRPr="00937FCD" w:rsidRDefault="00335FF9" w:rsidP="00163F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937F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Limba engleză</w:t>
            </w:r>
            <w:r w:rsidR="00452E79" w:rsidRPr="00937F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/</w:t>
            </w:r>
            <w:r w:rsidRPr="00937F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franceză. Facultatea Stomatologie </w:t>
            </w:r>
          </w:p>
        </w:tc>
      </w:tr>
      <w:tr w:rsidR="00163F52" w:rsidRPr="00E22DE3" w14:paraId="3C03FAEF" w14:textId="77777777" w:rsidTr="00163F52">
        <w:trPr>
          <w:trHeight w:val="390"/>
        </w:trPr>
        <w:tc>
          <w:tcPr>
            <w:tcW w:w="2689" w:type="dxa"/>
            <w:shd w:val="clear" w:color="auto" w:fill="DEEAF6" w:themeFill="accent1" w:themeFillTint="33"/>
          </w:tcPr>
          <w:p w14:paraId="2A66B42B" w14:textId="77777777" w:rsidR="00163F52" w:rsidRPr="000C67F5" w:rsidRDefault="00163F52" w:rsidP="00163F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Tipul</w:t>
            </w:r>
          </w:p>
        </w:tc>
        <w:tc>
          <w:tcPr>
            <w:tcW w:w="2522" w:type="dxa"/>
            <w:gridSpan w:val="2"/>
          </w:tcPr>
          <w:p w14:paraId="411AB036" w14:textId="77777777" w:rsidR="00163F52" w:rsidRPr="000C67F5" w:rsidRDefault="00163F52" w:rsidP="00163F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Obligatoriu</w:t>
            </w:r>
          </w:p>
        </w:tc>
        <w:tc>
          <w:tcPr>
            <w:tcW w:w="3119" w:type="dxa"/>
          </w:tcPr>
          <w:p w14:paraId="37E6D23F" w14:textId="77777777" w:rsidR="00163F52" w:rsidRPr="000C67F5" w:rsidRDefault="00163F52" w:rsidP="00163F52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Credite</w:t>
            </w:r>
          </w:p>
        </w:tc>
        <w:tc>
          <w:tcPr>
            <w:tcW w:w="1041" w:type="dxa"/>
          </w:tcPr>
          <w:p w14:paraId="2D1C916E" w14:textId="73602079" w:rsidR="00163F52" w:rsidRPr="000C67F5" w:rsidRDefault="00472F85" w:rsidP="00163F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4+3</w:t>
            </w:r>
          </w:p>
        </w:tc>
      </w:tr>
      <w:tr w:rsidR="00163F52" w:rsidRPr="00086B9E" w14:paraId="2185A79E" w14:textId="77777777" w:rsidTr="00163F52">
        <w:tc>
          <w:tcPr>
            <w:tcW w:w="2689" w:type="dxa"/>
          </w:tcPr>
          <w:p w14:paraId="7FBE71B8" w14:textId="77777777" w:rsidR="00163F52" w:rsidRPr="000C67F5" w:rsidRDefault="00163F52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Anul de studii</w:t>
            </w:r>
          </w:p>
        </w:tc>
        <w:tc>
          <w:tcPr>
            <w:tcW w:w="2522" w:type="dxa"/>
            <w:gridSpan w:val="2"/>
          </w:tcPr>
          <w:p w14:paraId="481DAA50" w14:textId="77777777" w:rsidR="00163F52" w:rsidRPr="000C67F5" w:rsidRDefault="00163F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3119" w:type="dxa"/>
          </w:tcPr>
          <w:p w14:paraId="351B8C51" w14:textId="77777777" w:rsidR="00163F52" w:rsidRPr="000C67F5" w:rsidRDefault="00163F52" w:rsidP="00163F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Semestrele</w:t>
            </w:r>
          </w:p>
        </w:tc>
        <w:tc>
          <w:tcPr>
            <w:tcW w:w="1041" w:type="dxa"/>
          </w:tcPr>
          <w:p w14:paraId="7CE2BD50" w14:textId="77777777" w:rsidR="00163F52" w:rsidRPr="000C67F5" w:rsidRDefault="00B9641A" w:rsidP="00163F52">
            <w:pPr>
              <w:ind w:left="11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I-II</w:t>
            </w:r>
          </w:p>
        </w:tc>
      </w:tr>
      <w:tr w:rsidR="00163F52" w:rsidRPr="00086B9E" w14:paraId="786DB476" w14:textId="77777777" w:rsidTr="00163F52">
        <w:trPr>
          <w:trHeight w:val="270"/>
        </w:trPr>
        <w:tc>
          <w:tcPr>
            <w:tcW w:w="2689" w:type="dxa"/>
            <w:vMerge w:val="restart"/>
          </w:tcPr>
          <w:p w14:paraId="1F7C0E20" w14:textId="77777777" w:rsidR="00163F52" w:rsidRPr="000C67F5" w:rsidRDefault="00163F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ore</w:t>
            </w:r>
          </w:p>
        </w:tc>
        <w:tc>
          <w:tcPr>
            <w:tcW w:w="1290" w:type="dxa"/>
          </w:tcPr>
          <w:p w14:paraId="75369E2A" w14:textId="77777777" w:rsidR="00163F52" w:rsidRPr="000C67F5" w:rsidRDefault="00163F52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Curs</w:t>
            </w:r>
          </w:p>
        </w:tc>
        <w:tc>
          <w:tcPr>
            <w:tcW w:w="1232" w:type="dxa"/>
          </w:tcPr>
          <w:p w14:paraId="4B5EA878" w14:textId="77777777" w:rsidR="00163F52" w:rsidRPr="000C67F5" w:rsidRDefault="00163F52" w:rsidP="00163F52">
            <w:pPr>
              <w:ind w:left="19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14:paraId="0971DD23" w14:textId="77777777" w:rsidR="00163F52" w:rsidRPr="000C67F5" w:rsidRDefault="00163F52" w:rsidP="00163F52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Lucrări practice/de laborator</w:t>
            </w:r>
          </w:p>
        </w:tc>
        <w:tc>
          <w:tcPr>
            <w:tcW w:w="1041" w:type="dxa"/>
          </w:tcPr>
          <w:p w14:paraId="703D3D83" w14:textId="77777777" w:rsidR="00163F52" w:rsidRPr="000C67F5" w:rsidRDefault="00163F52" w:rsidP="00163F5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63F52" w:rsidRPr="00086B9E" w14:paraId="4BA73251" w14:textId="77777777" w:rsidTr="00163F52">
        <w:trPr>
          <w:trHeight w:val="285"/>
        </w:trPr>
        <w:tc>
          <w:tcPr>
            <w:tcW w:w="2689" w:type="dxa"/>
            <w:vMerge/>
          </w:tcPr>
          <w:p w14:paraId="23B10609" w14:textId="77777777" w:rsidR="00163F52" w:rsidRPr="000C67F5" w:rsidRDefault="00163F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90" w:type="dxa"/>
          </w:tcPr>
          <w:p w14:paraId="594141CA" w14:textId="77777777" w:rsidR="00163F52" w:rsidRPr="000C67F5" w:rsidRDefault="00163F52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Seminare</w:t>
            </w:r>
          </w:p>
        </w:tc>
        <w:tc>
          <w:tcPr>
            <w:tcW w:w="1232" w:type="dxa"/>
          </w:tcPr>
          <w:p w14:paraId="3785B6E7" w14:textId="547C3C1D" w:rsidR="00163F52" w:rsidRPr="000C67F5" w:rsidRDefault="00163F52" w:rsidP="00163F52">
            <w:pPr>
              <w:ind w:left="19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BC0C4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/6</w:t>
            </w:r>
            <w:r w:rsidR="00BC0C4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3119" w:type="dxa"/>
          </w:tcPr>
          <w:p w14:paraId="1FC69190" w14:textId="77777777" w:rsidR="00163F52" w:rsidRPr="000C67F5" w:rsidRDefault="00163F52" w:rsidP="00163F5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Lucrul individual</w:t>
            </w:r>
          </w:p>
        </w:tc>
        <w:tc>
          <w:tcPr>
            <w:tcW w:w="1041" w:type="dxa"/>
          </w:tcPr>
          <w:p w14:paraId="1FCB0C65" w14:textId="7010245B" w:rsidR="00163F52" w:rsidRPr="000C67F5" w:rsidRDefault="00472F85" w:rsidP="00163F5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</w:t>
            </w:r>
            <w:r w:rsidR="00163F52"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BC0C4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</w:tr>
      <w:tr w:rsidR="000B7EA4" w:rsidRPr="00086B9E" w14:paraId="53AC6ED8" w14:textId="77777777" w:rsidTr="00163F52">
        <w:tc>
          <w:tcPr>
            <w:tcW w:w="2689" w:type="dxa"/>
          </w:tcPr>
          <w:p w14:paraId="68422D08" w14:textId="77777777" w:rsidR="000B7EA4" w:rsidRPr="000C67F5" w:rsidRDefault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Componenta</w:t>
            </w:r>
          </w:p>
        </w:tc>
        <w:tc>
          <w:tcPr>
            <w:tcW w:w="6682" w:type="dxa"/>
            <w:gridSpan w:val="4"/>
          </w:tcPr>
          <w:p w14:paraId="4DC6836B" w14:textId="77777777" w:rsidR="000B7EA4" w:rsidRPr="000C67F5" w:rsidRDefault="005358D6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Orientare</w:t>
            </w:r>
            <w:r w:rsidR="000B7EA4" w:rsidRPr="000C67F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socio-umană</w:t>
            </w:r>
          </w:p>
        </w:tc>
      </w:tr>
      <w:tr w:rsidR="000B7EA4" w:rsidRPr="00086B9E" w14:paraId="326A5EC1" w14:textId="77777777" w:rsidTr="00163F52">
        <w:tc>
          <w:tcPr>
            <w:tcW w:w="2689" w:type="dxa"/>
          </w:tcPr>
          <w:p w14:paraId="19253F8B" w14:textId="77777777" w:rsidR="000B7EA4" w:rsidRPr="000C67F5" w:rsidRDefault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6682" w:type="dxa"/>
            <w:gridSpan w:val="4"/>
          </w:tcPr>
          <w:p w14:paraId="4823D668" w14:textId="77777777" w:rsidR="003D2346" w:rsidRPr="003D2346" w:rsidRDefault="003D2346" w:rsidP="003D234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D23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D. Eșanu-Dumnazev, dr. șt. ped., conf. univ.</w:t>
            </w:r>
          </w:p>
          <w:p w14:paraId="21E52980" w14:textId="77777777" w:rsidR="003D2346" w:rsidRPr="003D2346" w:rsidRDefault="003D2346" w:rsidP="003D234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D23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 Panciuc, asistent universitar</w:t>
            </w:r>
          </w:p>
          <w:p w14:paraId="450380A0" w14:textId="6F75E58B" w:rsidR="008D4D58" w:rsidRPr="000C67F5" w:rsidRDefault="003D2346" w:rsidP="003D234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D23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A. Sîrghi, dr. șt. ed., asistent universitar</w:t>
            </w:r>
          </w:p>
        </w:tc>
      </w:tr>
      <w:tr w:rsidR="000B7EA4" w:rsidRPr="00B842C1" w14:paraId="2B6D01C3" w14:textId="77777777" w:rsidTr="00163F52">
        <w:tc>
          <w:tcPr>
            <w:tcW w:w="2689" w:type="dxa"/>
          </w:tcPr>
          <w:p w14:paraId="35C1E9C8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6682" w:type="dxa"/>
            <w:gridSpan w:val="4"/>
          </w:tcPr>
          <w:p w14:paraId="6B326510" w14:textId="77777777" w:rsidR="00B842C1" w:rsidRPr="000C67F5" w:rsidRDefault="00B842C1" w:rsidP="00B842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Blocul didactic nr. 3,</w:t>
            </w:r>
          </w:p>
          <w:p w14:paraId="075BF4A0" w14:textId="77777777" w:rsidR="00B842C1" w:rsidRPr="000C67F5" w:rsidRDefault="00B842C1" w:rsidP="00B842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 Ştefan cel Mare şi Sfânt, 194A,</w:t>
            </w:r>
          </w:p>
          <w:p w14:paraId="6DC4617C" w14:textId="77777777" w:rsidR="00B842C1" w:rsidRPr="000C67F5" w:rsidRDefault="00B842C1" w:rsidP="00B842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 Chişinău, MD-2004,Republica Moldova</w:t>
            </w:r>
          </w:p>
          <w:p w14:paraId="21DCB734" w14:textId="77777777" w:rsidR="000B7EA4" w:rsidRPr="000C67F5" w:rsidRDefault="00B842C1" w:rsidP="00B842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(+373) 22 205 204</w:t>
            </w:r>
          </w:p>
        </w:tc>
      </w:tr>
      <w:tr w:rsidR="000B7EA4" w:rsidRPr="005358D6" w14:paraId="7DBEEFC4" w14:textId="77777777" w:rsidTr="00163F52">
        <w:tc>
          <w:tcPr>
            <w:tcW w:w="2689" w:type="dxa"/>
            <w:vMerge w:val="restart"/>
          </w:tcPr>
          <w:p w14:paraId="0FE94E57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Condiționări și exigențe prealabile de:</w:t>
            </w:r>
          </w:p>
          <w:p w14:paraId="046F1170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82" w:type="dxa"/>
            <w:gridSpan w:val="4"/>
          </w:tcPr>
          <w:p w14:paraId="33FCA126" w14:textId="77777777" w:rsidR="000B7EA4" w:rsidRPr="000C67F5" w:rsidRDefault="00B842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Studierea limbilor străine de specialitate prevăd nivelul minim A2-B</w:t>
            </w:r>
            <w:r w:rsidR="000C67F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1 de cunoașt</w:t>
            </w:r>
            <w:r w:rsidR="005358D6" w:rsidRPr="000C67F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ere a limbilor străine conform CECRL. </w:t>
            </w:r>
          </w:p>
        </w:tc>
      </w:tr>
      <w:tr w:rsidR="000B7EA4" w:rsidRPr="00472F85" w14:paraId="1EB60B40" w14:textId="77777777" w:rsidTr="00163F52">
        <w:tc>
          <w:tcPr>
            <w:tcW w:w="2689" w:type="dxa"/>
            <w:vMerge/>
          </w:tcPr>
          <w:p w14:paraId="21011E8D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36"/>
                <w:szCs w:val="24"/>
                <w:lang w:val="ro-RO"/>
              </w:rPr>
            </w:pPr>
          </w:p>
        </w:tc>
        <w:tc>
          <w:tcPr>
            <w:tcW w:w="6682" w:type="dxa"/>
            <w:gridSpan w:val="4"/>
          </w:tcPr>
          <w:p w14:paraId="42FDD3E0" w14:textId="3216214D" w:rsidR="000B7EA4" w:rsidRPr="000C67F5" w:rsidRDefault="000C67F5" w:rsidP="00121550">
            <w:pPr>
              <w:pStyle w:val="BodyTextIndent"/>
              <w:ind w:firstLine="0"/>
              <w:jc w:val="both"/>
              <w:rPr>
                <w:b/>
                <w:szCs w:val="24"/>
              </w:rPr>
            </w:pPr>
            <w:r>
              <w:rPr>
                <w:iCs/>
                <w:szCs w:val="24"/>
              </w:rPr>
              <w:t>Nivelul minim A2-B1 de cunoașt</w:t>
            </w:r>
            <w:r w:rsidR="00121550" w:rsidRPr="000C67F5">
              <w:rPr>
                <w:iCs/>
                <w:szCs w:val="24"/>
              </w:rPr>
              <w:t>ere a limbilor străine conform CECRL;</w:t>
            </w:r>
            <w:r w:rsidR="00121550" w:rsidRPr="000C67F5">
              <w:rPr>
                <w:szCs w:val="24"/>
              </w:rPr>
              <w:t xml:space="preserve"> </w:t>
            </w:r>
            <w:r w:rsidR="005358D6" w:rsidRPr="000C67F5">
              <w:rPr>
                <w:szCs w:val="24"/>
              </w:rPr>
              <w:t xml:space="preserve"> competențe di</w:t>
            </w:r>
            <w:r w:rsidR="00F32F84" w:rsidRPr="000C67F5">
              <w:rPr>
                <w:szCs w:val="24"/>
              </w:rPr>
              <w:t>gitale</w:t>
            </w:r>
            <w:r w:rsidR="005358D6" w:rsidRPr="000C67F5">
              <w:rPr>
                <w:szCs w:val="24"/>
              </w:rPr>
              <w:t>;</w:t>
            </w:r>
            <w:r w:rsidR="00121550" w:rsidRPr="000C67F5">
              <w:rPr>
                <w:b/>
                <w:szCs w:val="24"/>
              </w:rPr>
              <w:t xml:space="preserve"> </w:t>
            </w:r>
            <w:r w:rsidR="005358D6" w:rsidRPr="000C67F5">
              <w:rPr>
                <w:szCs w:val="24"/>
              </w:rPr>
              <w:t>abilitatea de comunicare și de lucru în echipă;</w:t>
            </w:r>
          </w:p>
        </w:tc>
      </w:tr>
      <w:tr w:rsidR="000B7EA4" w:rsidRPr="00472F85" w14:paraId="0C89C77F" w14:textId="77777777" w:rsidTr="00163F52">
        <w:tc>
          <w:tcPr>
            <w:tcW w:w="2689" w:type="dxa"/>
            <w:shd w:val="clear" w:color="auto" w:fill="DEEAF6" w:themeFill="accent1" w:themeFillTint="33"/>
          </w:tcPr>
          <w:p w14:paraId="48DA45AE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6682" w:type="dxa"/>
            <w:gridSpan w:val="4"/>
          </w:tcPr>
          <w:p w14:paraId="60C83B2C" w14:textId="48969F9D" w:rsidR="00A36556" w:rsidRPr="00A36556" w:rsidRDefault="00A36556" w:rsidP="00A3655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Disciplina Limbi moderne ocupă un loc semnificativ în planul de studii al Universităţii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de Stat de Medicină şi Farmacie „Nicolae Testemiţanu”, limbile moderne (engleza și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franceza) având statut de lingua franca și fiind limbi de lucru ale instituțiilor UE.</w:t>
            </w:r>
          </w:p>
          <w:p w14:paraId="5F1B94DD" w14:textId="38CF9C5C" w:rsidR="00A36556" w:rsidRPr="00A36556" w:rsidRDefault="00A36556" w:rsidP="00A3655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Racordarea procesului de la Bologna și standardelor europene impune asigurarea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calităţii și competenței lingvistice drept obiectiv prioritar pentru integrarea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învățământului în spațiul european.</w:t>
            </w:r>
          </w:p>
          <w:p w14:paraId="08578CF8" w14:textId="1F659081" w:rsidR="00A36556" w:rsidRPr="00A36556" w:rsidRDefault="00A36556" w:rsidP="00A3655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În conformitate cu aceste standarde, disciplina Limbi moderne (limbaj terminologic)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este un curs practic, destinat studenților stomatologi, pentru aplicarea practică și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utilizarea activă în instruirea și activitatea profesională. Cursul de Limbi moderne</w:t>
            </w:r>
          </w:p>
          <w:p w14:paraId="18528A60" w14:textId="65DCDA95" w:rsidR="00A36556" w:rsidRPr="00A36556" w:rsidRDefault="00A36556" w:rsidP="00A3655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(limbaj terminologic) este orientat spre formarea competențelor lingvistice stabilite de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Cadrul European Comun de Referinţă pentru Limbi /CECRL/, elaborat de Consiliul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Europei. Cursul de Limbi moderne (limbaj terminologic) vizează însușirea limbajului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terminologic medical esențial și contribuie la formarea competențelor lingvistice solide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la studenții stomatologi, necesare mobilității academice, integrării interculturale și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profesionale.</w:t>
            </w:r>
          </w:p>
          <w:p w14:paraId="163F115D" w14:textId="0876DA21" w:rsidR="000B7EA4" w:rsidRPr="00A36556" w:rsidRDefault="00A36556" w:rsidP="00A3655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Orientarea formativă a învățământului universitar și formarea profesională 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studenților stomatologi sunt un cadru de referință al sistemului de formare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profesională a cadrelor medicale pentru o comunicare verbală în limba străină,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facilitarea comunicării în spațiul internațional, cooperarea în domeniul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medicinii/stomatologiei și pentru a deveni competitivi pe piața muncii.</w:t>
            </w:r>
          </w:p>
        </w:tc>
      </w:tr>
      <w:tr w:rsidR="000B7EA4" w:rsidRPr="00277D62" w14:paraId="4DBD59EB" w14:textId="77777777" w:rsidTr="00163F52">
        <w:tc>
          <w:tcPr>
            <w:tcW w:w="2689" w:type="dxa"/>
          </w:tcPr>
          <w:p w14:paraId="1CB71B25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Tematica prezentată</w:t>
            </w:r>
          </w:p>
          <w:p w14:paraId="37992346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36"/>
                <w:szCs w:val="24"/>
                <w:lang w:val="ro-RO"/>
              </w:rPr>
            </w:pPr>
          </w:p>
        </w:tc>
        <w:tc>
          <w:tcPr>
            <w:tcW w:w="6682" w:type="dxa"/>
            <w:gridSpan w:val="4"/>
          </w:tcPr>
          <w:p w14:paraId="0CBD9C6C" w14:textId="0B474561" w:rsidR="003D2346" w:rsidRPr="003D2346" w:rsidRDefault="003D2346" w:rsidP="00B9641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3D2346">
              <w:rPr>
                <w:b/>
                <w:bCs/>
                <w:sz w:val="23"/>
                <w:szCs w:val="23"/>
              </w:rPr>
              <w:t>ENG</w:t>
            </w:r>
          </w:p>
          <w:p w14:paraId="61F8DC8B" w14:textId="5C2EDC13" w:rsidR="00472F85" w:rsidRDefault="00472F85" w:rsidP="00B9641A">
            <w:pPr>
              <w:pStyle w:val="Default"/>
              <w:jc w:val="both"/>
              <w:rPr>
                <w:sz w:val="23"/>
                <w:szCs w:val="23"/>
              </w:rPr>
            </w:pPr>
            <w:r w:rsidRPr="00472F85">
              <w:rPr>
                <w:sz w:val="23"/>
                <w:szCs w:val="23"/>
              </w:rPr>
              <w:t>Stomatologia clinică. Domeniile stomatologiei</w:t>
            </w:r>
          </w:p>
          <w:p w14:paraId="2BE6DCC7" w14:textId="0A533741" w:rsidR="00472F85" w:rsidRDefault="00472F85" w:rsidP="00B9641A">
            <w:pPr>
              <w:pStyle w:val="Default"/>
              <w:jc w:val="both"/>
              <w:rPr>
                <w:sz w:val="23"/>
                <w:szCs w:val="23"/>
              </w:rPr>
            </w:pPr>
            <w:r w:rsidRPr="00472F85">
              <w:rPr>
                <w:sz w:val="23"/>
                <w:szCs w:val="23"/>
              </w:rPr>
              <w:t>Echipa stomatologică</w:t>
            </w:r>
          </w:p>
          <w:p w14:paraId="357B6C8A" w14:textId="50B9DAB0" w:rsidR="00472F85" w:rsidRDefault="00472F85" w:rsidP="00B9641A">
            <w:pPr>
              <w:pStyle w:val="Default"/>
              <w:jc w:val="both"/>
              <w:rPr>
                <w:sz w:val="23"/>
                <w:szCs w:val="23"/>
              </w:rPr>
            </w:pPr>
            <w:r w:rsidRPr="00472F85">
              <w:rPr>
                <w:sz w:val="23"/>
                <w:szCs w:val="23"/>
              </w:rPr>
              <w:t>Corpul uman</w:t>
            </w:r>
          </w:p>
          <w:p w14:paraId="05077BBD" w14:textId="3FF38EC2" w:rsidR="00472F85" w:rsidRDefault="00472F85" w:rsidP="00B9641A">
            <w:pPr>
              <w:pStyle w:val="Default"/>
              <w:jc w:val="both"/>
              <w:rPr>
                <w:sz w:val="23"/>
                <w:szCs w:val="23"/>
              </w:rPr>
            </w:pPr>
            <w:r w:rsidRPr="00472F85">
              <w:rPr>
                <w:sz w:val="23"/>
                <w:szCs w:val="23"/>
              </w:rPr>
              <w:t>Cavitatea bucală, maxilarele și glandele salivare</w:t>
            </w:r>
          </w:p>
          <w:p w14:paraId="7DB88B4E" w14:textId="02F711E4" w:rsidR="00472F85" w:rsidRDefault="00472F85" w:rsidP="00B9641A">
            <w:pPr>
              <w:pStyle w:val="Default"/>
              <w:jc w:val="both"/>
              <w:rPr>
                <w:sz w:val="23"/>
                <w:szCs w:val="23"/>
              </w:rPr>
            </w:pPr>
            <w:r w:rsidRPr="00472F85">
              <w:rPr>
                <w:sz w:val="23"/>
                <w:szCs w:val="23"/>
              </w:rPr>
              <w:t>Anatomia dinţilor</w:t>
            </w:r>
          </w:p>
          <w:p w14:paraId="5B76132C" w14:textId="21693D8F" w:rsidR="00472F85" w:rsidRDefault="00472F85" w:rsidP="00B9641A">
            <w:pPr>
              <w:pStyle w:val="Default"/>
              <w:jc w:val="both"/>
              <w:rPr>
                <w:sz w:val="23"/>
                <w:szCs w:val="23"/>
              </w:rPr>
            </w:pPr>
            <w:r w:rsidRPr="00472F85">
              <w:rPr>
                <w:sz w:val="23"/>
                <w:szCs w:val="23"/>
              </w:rPr>
              <w:t>Tipurile de dinți. Suprafețele dinţilor</w:t>
            </w:r>
          </w:p>
          <w:p w14:paraId="5D6B53A4" w14:textId="7B456712" w:rsidR="00472F85" w:rsidRDefault="00472F85" w:rsidP="00B9641A">
            <w:pPr>
              <w:pStyle w:val="Default"/>
              <w:jc w:val="both"/>
              <w:rPr>
                <w:sz w:val="23"/>
                <w:szCs w:val="23"/>
              </w:rPr>
            </w:pPr>
            <w:r w:rsidRPr="00472F85">
              <w:rPr>
                <w:sz w:val="23"/>
                <w:szCs w:val="23"/>
              </w:rPr>
              <w:lastRenderedPageBreak/>
              <w:t>Dentiţia primară şi secundară</w:t>
            </w:r>
          </w:p>
          <w:p w14:paraId="30900D69" w14:textId="0708F295" w:rsidR="00472F85" w:rsidRDefault="00472F85" w:rsidP="00B9641A">
            <w:pPr>
              <w:pStyle w:val="Default"/>
              <w:jc w:val="both"/>
              <w:rPr>
                <w:sz w:val="23"/>
                <w:szCs w:val="23"/>
              </w:rPr>
            </w:pPr>
            <w:r w:rsidRPr="00472F85">
              <w:rPr>
                <w:sz w:val="23"/>
                <w:szCs w:val="23"/>
              </w:rPr>
              <w:t>Metodele de diagnosticare a afecțiunilor dentare</w:t>
            </w:r>
          </w:p>
          <w:p w14:paraId="7D4EE3D0" w14:textId="52CEF320" w:rsidR="00472F85" w:rsidRDefault="00472F85" w:rsidP="00B9641A">
            <w:pPr>
              <w:pStyle w:val="Default"/>
              <w:jc w:val="both"/>
              <w:rPr>
                <w:sz w:val="23"/>
                <w:szCs w:val="23"/>
              </w:rPr>
            </w:pPr>
            <w:r w:rsidRPr="00472F85">
              <w:rPr>
                <w:sz w:val="23"/>
                <w:szCs w:val="23"/>
              </w:rPr>
              <w:t>Caria dentară. Cauzele cariei și efectele cariei</w:t>
            </w:r>
          </w:p>
          <w:p w14:paraId="6851FF32" w14:textId="2CCC8F1A" w:rsidR="00472F85" w:rsidRDefault="00472F85" w:rsidP="00B9641A">
            <w:pPr>
              <w:pStyle w:val="Default"/>
              <w:jc w:val="both"/>
              <w:rPr>
                <w:sz w:val="23"/>
                <w:szCs w:val="23"/>
              </w:rPr>
            </w:pPr>
            <w:r w:rsidRPr="00472F85">
              <w:rPr>
                <w:sz w:val="23"/>
                <w:szCs w:val="23"/>
              </w:rPr>
              <w:t>Pulpita</w:t>
            </w:r>
          </w:p>
          <w:p w14:paraId="3E9A99C8" w14:textId="488821A2" w:rsidR="00472F85" w:rsidRDefault="00472F85" w:rsidP="00B9641A">
            <w:pPr>
              <w:pStyle w:val="Default"/>
              <w:jc w:val="both"/>
              <w:rPr>
                <w:sz w:val="23"/>
                <w:szCs w:val="23"/>
              </w:rPr>
            </w:pPr>
            <w:r w:rsidRPr="00472F85">
              <w:rPr>
                <w:sz w:val="23"/>
                <w:szCs w:val="23"/>
              </w:rPr>
              <w:t>Abcesul dentar</w:t>
            </w:r>
          </w:p>
          <w:p w14:paraId="297F282F" w14:textId="6CA38ADC" w:rsidR="00472F85" w:rsidRDefault="00472F85" w:rsidP="00B9641A">
            <w:pPr>
              <w:pStyle w:val="Default"/>
              <w:jc w:val="both"/>
              <w:rPr>
                <w:sz w:val="23"/>
                <w:szCs w:val="23"/>
              </w:rPr>
            </w:pPr>
            <w:r w:rsidRPr="00472F85">
              <w:rPr>
                <w:sz w:val="23"/>
                <w:szCs w:val="23"/>
              </w:rPr>
              <w:t>Obturațiile. Tipurile de obturații. Materialele obturative</w:t>
            </w:r>
          </w:p>
          <w:p w14:paraId="591304C5" w14:textId="005F3051" w:rsidR="00472F85" w:rsidRDefault="00472F85" w:rsidP="00B9641A">
            <w:pPr>
              <w:pStyle w:val="Default"/>
              <w:jc w:val="both"/>
              <w:rPr>
                <w:sz w:val="23"/>
                <w:szCs w:val="23"/>
              </w:rPr>
            </w:pPr>
            <w:r w:rsidRPr="00472F85">
              <w:rPr>
                <w:sz w:val="23"/>
                <w:szCs w:val="23"/>
              </w:rPr>
              <w:t>Endodonția. Terapia Canalului Radicular</w:t>
            </w:r>
          </w:p>
          <w:p w14:paraId="5ECD4657" w14:textId="61C80915" w:rsidR="003D2346" w:rsidRDefault="003D2346" w:rsidP="00B9641A">
            <w:pPr>
              <w:pStyle w:val="Default"/>
              <w:jc w:val="both"/>
              <w:rPr>
                <w:sz w:val="23"/>
                <w:szCs w:val="23"/>
              </w:rPr>
            </w:pPr>
            <w:r w:rsidRPr="003D2346">
              <w:rPr>
                <w:sz w:val="23"/>
                <w:szCs w:val="23"/>
              </w:rPr>
              <w:t>Endodonția. Pulpotomia, Pulpectomia și Apicoectomia</w:t>
            </w:r>
          </w:p>
          <w:p w14:paraId="44254272" w14:textId="1F4EBEBF" w:rsidR="00472F85" w:rsidRDefault="003D2346" w:rsidP="00B9641A">
            <w:pPr>
              <w:pStyle w:val="Default"/>
              <w:jc w:val="both"/>
              <w:rPr>
                <w:sz w:val="23"/>
                <w:szCs w:val="23"/>
              </w:rPr>
            </w:pPr>
            <w:r w:rsidRPr="003D2346">
              <w:rPr>
                <w:sz w:val="23"/>
                <w:szCs w:val="23"/>
              </w:rPr>
              <w:t>Parodontologia. Boala Parodontală</w:t>
            </w:r>
          </w:p>
          <w:p w14:paraId="2AF85BB6" w14:textId="5ED5BE25" w:rsidR="003D2346" w:rsidRDefault="003D2346" w:rsidP="00B9641A">
            <w:pPr>
              <w:pStyle w:val="Default"/>
              <w:jc w:val="both"/>
              <w:rPr>
                <w:sz w:val="23"/>
                <w:szCs w:val="23"/>
              </w:rPr>
            </w:pPr>
            <w:r w:rsidRPr="003D2346">
              <w:rPr>
                <w:sz w:val="23"/>
                <w:szCs w:val="23"/>
              </w:rPr>
              <w:t>Detartrajul și chiuretajul subgingival</w:t>
            </w:r>
          </w:p>
          <w:p w14:paraId="1D044ABB" w14:textId="77777777" w:rsidR="003D2346" w:rsidRPr="003D2346" w:rsidRDefault="003D2346" w:rsidP="003D2346">
            <w:pPr>
              <w:pStyle w:val="Default"/>
              <w:jc w:val="both"/>
              <w:rPr>
                <w:sz w:val="23"/>
                <w:szCs w:val="23"/>
              </w:rPr>
            </w:pPr>
            <w:r w:rsidRPr="003D2346">
              <w:rPr>
                <w:sz w:val="23"/>
                <w:szCs w:val="23"/>
              </w:rPr>
              <w:t>Protetica. Protezele dentare, punțile dentare, coronițele</w:t>
            </w:r>
          </w:p>
          <w:p w14:paraId="48EC740C" w14:textId="6F342D5C" w:rsidR="003D2346" w:rsidRDefault="003D2346" w:rsidP="003D2346">
            <w:pPr>
              <w:pStyle w:val="Default"/>
              <w:jc w:val="both"/>
              <w:rPr>
                <w:sz w:val="23"/>
                <w:szCs w:val="23"/>
              </w:rPr>
            </w:pPr>
            <w:r w:rsidRPr="003D2346">
              <w:rPr>
                <w:sz w:val="23"/>
                <w:szCs w:val="23"/>
              </w:rPr>
              <w:t>D</w:t>
            </w:r>
            <w:r w:rsidRPr="003D2346">
              <w:rPr>
                <w:sz w:val="23"/>
                <w:szCs w:val="23"/>
              </w:rPr>
              <w:t>entare</w:t>
            </w:r>
          </w:p>
          <w:p w14:paraId="47E68A85" w14:textId="52E9A393" w:rsidR="003D2346" w:rsidRDefault="003D2346" w:rsidP="003D2346">
            <w:pPr>
              <w:pStyle w:val="Default"/>
              <w:jc w:val="both"/>
              <w:rPr>
                <w:sz w:val="23"/>
                <w:szCs w:val="23"/>
              </w:rPr>
            </w:pPr>
            <w:r w:rsidRPr="003D2346">
              <w:rPr>
                <w:sz w:val="23"/>
                <w:szCs w:val="23"/>
              </w:rPr>
              <w:t>Stomatologia Digitală. Tehnologia CAD / CAM</w:t>
            </w:r>
          </w:p>
          <w:p w14:paraId="683515EB" w14:textId="39B3F6E0" w:rsidR="003D2346" w:rsidRDefault="003D2346" w:rsidP="003D2346">
            <w:pPr>
              <w:pStyle w:val="Default"/>
              <w:jc w:val="both"/>
              <w:rPr>
                <w:sz w:val="23"/>
                <w:szCs w:val="23"/>
              </w:rPr>
            </w:pPr>
            <w:r w:rsidRPr="003D2346">
              <w:rPr>
                <w:sz w:val="23"/>
                <w:szCs w:val="23"/>
              </w:rPr>
              <w:t>Ortodonția. Malocluzia. Aparatele ortodontice.</w:t>
            </w:r>
          </w:p>
          <w:p w14:paraId="4812D44E" w14:textId="45FC3836" w:rsidR="003D2346" w:rsidRDefault="003D2346" w:rsidP="003D2346">
            <w:pPr>
              <w:pStyle w:val="Default"/>
              <w:jc w:val="both"/>
              <w:rPr>
                <w:sz w:val="23"/>
                <w:szCs w:val="23"/>
              </w:rPr>
            </w:pPr>
            <w:r w:rsidRPr="003D2346">
              <w:rPr>
                <w:sz w:val="23"/>
                <w:szCs w:val="23"/>
              </w:rPr>
              <w:t>Chirurgia oro-maxilo-facială</w:t>
            </w:r>
          </w:p>
          <w:p w14:paraId="78054F13" w14:textId="7DBBBCA6" w:rsidR="003D2346" w:rsidRDefault="003D2346" w:rsidP="003D2346">
            <w:pPr>
              <w:pStyle w:val="Default"/>
              <w:jc w:val="both"/>
              <w:rPr>
                <w:sz w:val="23"/>
                <w:szCs w:val="23"/>
              </w:rPr>
            </w:pPr>
            <w:r w:rsidRPr="003D2346">
              <w:rPr>
                <w:sz w:val="23"/>
                <w:szCs w:val="23"/>
              </w:rPr>
              <w:t>Implanturile Dentare</w:t>
            </w:r>
          </w:p>
          <w:p w14:paraId="26413666" w14:textId="68FE6ECB" w:rsidR="003D2346" w:rsidRDefault="003D2346" w:rsidP="003D2346">
            <w:pPr>
              <w:pStyle w:val="Default"/>
              <w:jc w:val="both"/>
              <w:rPr>
                <w:sz w:val="23"/>
                <w:szCs w:val="23"/>
              </w:rPr>
            </w:pPr>
            <w:r w:rsidRPr="003D2346">
              <w:rPr>
                <w:sz w:val="23"/>
                <w:szCs w:val="23"/>
              </w:rPr>
              <w:t>Stomatologia preventivă</w:t>
            </w:r>
          </w:p>
          <w:p w14:paraId="5CB8B23D" w14:textId="7484A402" w:rsidR="00472F85" w:rsidRPr="003D2346" w:rsidRDefault="003D2346" w:rsidP="00B9641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3D2346">
              <w:rPr>
                <w:b/>
                <w:bCs/>
                <w:sz w:val="23"/>
                <w:szCs w:val="23"/>
              </w:rPr>
              <w:t>FR</w:t>
            </w:r>
          </w:p>
          <w:p w14:paraId="7A454036" w14:textId="23D926F8" w:rsidR="00871038" w:rsidRPr="00BC0C41" w:rsidRDefault="000C67F5" w:rsidP="00B9641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Profesia aleasa din vocație. Universitatea de Stat de Medicină și Farmacie „ N. Testemițanu”. Istoria facultăț</w:t>
            </w:r>
            <w:r w:rsidR="0025529E">
              <w:rPr>
                <w:sz w:val="23"/>
                <w:szCs w:val="23"/>
              </w:rPr>
              <w:t xml:space="preserve">ii de Stomatologie. </w:t>
            </w:r>
            <w:r>
              <w:rPr>
                <w:sz w:val="23"/>
                <w:szCs w:val="23"/>
              </w:rPr>
              <w:t>Ziua de muncă a unui student – dentist. Nașterea medicinii dentare științifice în Franța. Pierre Fauchard. Dinții. Structura dinților. Tipurile de dinți și rolul lor. Dentiția. Poziționarea rea a dinților se corij</w:t>
            </w:r>
            <w:r w:rsidR="0025529E">
              <w:rPr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 xml:space="preserve">ază. Anomaliile dentare. Caria dentară. Maladiile parodontale. Gingivitele. Cabinetul stomatologic. Vizita la dentist. Igiena buco- dentară. Ce să facem pentru a proteja dinții? Pasta de dinți. Periuța de dinți. </w:t>
            </w:r>
            <w:r w:rsidR="0025529E">
              <w:rPr>
                <w:sz w:val="23"/>
                <w:szCs w:val="23"/>
              </w:rPr>
              <w:t xml:space="preserve">Vitaminele. </w:t>
            </w:r>
            <w:r>
              <w:rPr>
                <w:sz w:val="23"/>
                <w:szCs w:val="23"/>
              </w:rPr>
              <w:t xml:space="preserve">Atelier de lucru asupra literaturii de specialitate. </w:t>
            </w:r>
            <w:r w:rsidR="0025529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Atelier de l</w:t>
            </w:r>
            <w:r w:rsidR="0025529E">
              <w:rPr>
                <w:sz w:val="23"/>
                <w:szCs w:val="23"/>
              </w:rPr>
              <w:t xml:space="preserve">ucru asupra unui document video. </w:t>
            </w:r>
            <w:r>
              <w:rPr>
                <w:sz w:val="23"/>
                <w:szCs w:val="23"/>
              </w:rPr>
              <w:t>Studiile dentare din Franța. Arta dentară. Examenul clinic în stomatologie. La dentist. Recomandări în caz de extracție dentară. Dentisteria cosmetică. Moartea atomică. Atelier de lucru</w:t>
            </w:r>
            <w:r w:rsidR="0025529E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Maladiile profesionale în stomatologie. Calculul salivar, o afecțiune rară și benignă. Litiaza salivară</w:t>
            </w:r>
            <w:r w:rsidR="0025529E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Implanturile dentare. Jurământul lui Hipocrate. Deontologia medicală. Sarcina și îngrijirile dentare. Igiena dentară și prevenirea cariilor. Cooperarea internațională în domeniul stomatologiei. </w:t>
            </w:r>
          </w:p>
        </w:tc>
      </w:tr>
      <w:tr w:rsidR="000B7EA4" w:rsidRPr="003D2346" w14:paraId="52A90DFC" w14:textId="77777777" w:rsidTr="00163F52">
        <w:tc>
          <w:tcPr>
            <w:tcW w:w="2689" w:type="dxa"/>
            <w:shd w:val="clear" w:color="auto" w:fill="DEEAF6" w:themeFill="accent1" w:themeFillTint="33"/>
          </w:tcPr>
          <w:p w14:paraId="742F6169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Finalități de studiu</w:t>
            </w:r>
          </w:p>
          <w:p w14:paraId="58B8FF91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36"/>
                <w:szCs w:val="24"/>
                <w:lang w:val="ro-RO"/>
              </w:rPr>
            </w:pPr>
          </w:p>
        </w:tc>
        <w:tc>
          <w:tcPr>
            <w:tcW w:w="6682" w:type="dxa"/>
            <w:gridSpan w:val="4"/>
          </w:tcPr>
          <w:p w14:paraId="390515BA" w14:textId="58F9890E" w:rsidR="003D2346" w:rsidRPr="00A36556" w:rsidRDefault="003D2346" w:rsidP="00A3655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Formarea deprinderilor de exprimare scrisă şi orală în contextul comunicării</w:t>
            </w: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medic/pacient, medic/medic.</w:t>
            </w:r>
          </w:p>
          <w:p w14:paraId="131F6401" w14:textId="7D9F2FE4" w:rsidR="003D2346" w:rsidRPr="00A36556" w:rsidRDefault="003D2346" w:rsidP="00A3655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Dezvoltarea abilităţilor de înţelegere a unui text scris/ discurs/ mesaj oral.</w:t>
            </w:r>
          </w:p>
          <w:p w14:paraId="364C2F43" w14:textId="5EFD2D65" w:rsidR="003D2346" w:rsidRPr="00A36556" w:rsidRDefault="003D2346" w:rsidP="00A3655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Iniţierea și însuşirea lexicului și a terminologiei stomatologice de bază.</w:t>
            </w:r>
          </w:p>
          <w:p w14:paraId="4B1F219B" w14:textId="3061354D" w:rsidR="003D2346" w:rsidRPr="00A36556" w:rsidRDefault="003D2346" w:rsidP="00A3655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Formarea și dezvoltarea abilităților de analiză și sinteză a informațiilor din surse</w:t>
            </w: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autentice și prezentarea în formă orală sau scrisă.</w:t>
            </w:r>
          </w:p>
          <w:p w14:paraId="6747383C" w14:textId="5B8437A4" w:rsidR="003D2346" w:rsidRPr="00A36556" w:rsidRDefault="003D2346" w:rsidP="00A3655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Familiarizarea studenților cu tematicile specifice domeniului stomatologic în scopul</w:t>
            </w: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promovării unui dialog intercultural și interdisciplinar.</w:t>
            </w:r>
          </w:p>
          <w:p w14:paraId="25BF752E" w14:textId="667DB0F8" w:rsidR="003D2346" w:rsidRPr="00A36556" w:rsidRDefault="003D2346" w:rsidP="00A3655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Studenții vor putea să dezvolte metodic o prezentare sau o descriere, subliniind</w:t>
            </w: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punctele importante şi detaliile pertinente domeniului profesional.</w:t>
            </w:r>
          </w:p>
          <w:p w14:paraId="22450ECD" w14:textId="12DB9565" w:rsidR="003D2346" w:rsidRPr="00A36556" w:rsidRDefault="003D2346" w:rsidP="00A3655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Studenții vor putea scrie texte clare şi detaliate despre subiecte din domeniul</w:t>
            </w: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stomatologic, făcând sinteza şi evaluarea informaţiei şi argumentelor din surse diferite.</w:t>
            </w:r>
          </w:p>
          <w:p w14:paraId="18E98BE8" w14:textId="2CD18202" w:rsidR="000B7EA4" w:rsidRPr="00A36556" w:rsidRDefault="003D2346" w:rsidP="00A3655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Studenții vor putea urmări atent o intervenţie de o anumită durată şi o argumentare</w:t>
            </w: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complexă cu condiţia ca subiectul să fie destul de familiar şi ca planul general al</w:t>
            </w: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365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expunerii să fie arătat prin indicatori expliciţi.</w:t>
            </w:r>
          </w:p>
        </w:tc>
      </w:tr>
      <w:tr w:rsidR="000B7EA4" w:rsidRPr="00472F85" w14:paraId="5CBE50F1" w14:textId="77777777" w:rsidTr="00F54B73">
        <w:trPr>
          <w:trHeight w:val="2501"/>
        </w:trPr>
        <w:tc>
          <w:tcPr>
            <w:tcW w:w="2689" w:type="dxa"/>
          </w:tcPr>
          <w:p w14:paraId="3A8A5A0F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Manopere</w:t>
            </w:r>
            <w:r w:rsidR="00E53EEA"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/Deprinderi</w:t>
            </w: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practice achiziționate</w:t>
            </w:r>
          </w:p>
          <w:p w14:paraId="1ADC8FA3" w14:textId="77777777" w:rsidR="000B7EA4" w:rsidRDefault="000B7EA4" w:rsidP="000B7EA4">
            <w:pPr>
              <w:rPr>
                <w:rFonts w:ascii="Times New Roman" w:hAnsi="Times New Roman" w:cs="Times New Roman"/>
                <w:sz w:val="36"/>
                <w:szCs w:val="24"/>
                <w:lang w:val="ro-RO"/>
              </w:rPr>
            </w:pPr>
          </w:p>
          <w:p w14:paraId="1C1CD132" w14:textId="77777777" w:rsidR="00222969" w:rsidRPr="00222969" w:rsidRDefault="00222969" w:rsidP="00222969">
            <w:pPr>
              <w:rPr>
                <w:rFonts w:ascii="Times New Roman" w:hAnsi="Times New Roman" w:cs="Times New Roman"/>
                <w:sz w:val="36"/>
                <w:szCs w:val="24"/>
                <w:lang w:val="ro-RO"/>
              </w:rPr>
            </w:pPr>
          </w:p>
          <w:p w14:paraId="68ADBF4C" w14:textId="740969D3" w:rsidR="00222969" w:rsidRPr="00222969" w:rsidRDefault="00222969" w:rsidP="00222969">
            <w:pPr>
              <w:rPr>
                <w:rFonts w:ascii="Times New Roman" w:hAnsi="Times New Roman" w:cs="Times New Roman"/>
                <w:sz w:val="36"/>
                <w:szCs w:val="24"/>
                <w:lang w:val="ro-RO"/>
              </w:rPr>
            </w:pPr>
          </w:p>
        </w:tc>
        <w:tc>
          <w:tcPr>
            <w:tcW w:w="6682" w:type="dxa"/>
            <w:gridSpan w:val="4"/>
          </w:tcPr>
          <w:p w14:paraId="6C90BC3F" w14:textId="77777777" w:rsidR="00F32F84" w:rsidRPr="000C67F5" w:rsidRDefault="00F32F84" w:rsidP="00F32F84">
            <w:pPr>
              <w:pStyle w:val="ListParagraph"/>
              <w:numPr>
                <w:ilvl w:val="0"/>
                <w:numId w:val="8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facă analiza și sinteza informației din surse autentice  și s-o prezente   în formă orală sau scrisă;</w:t>
            </w:r>
          </w:p>
          <w:p w14:paraId="07929D79" w14:textId="77777777" w:rsidR="00531B81" w:rsidRPr="000C67F5" w:rsidRDefault="00531B81" w:rsidP="00531B81">
            <w:pPr>
              <w:pStyle w:val="ListParagraph"/>
              <w:numPr>
                <w:ilvl w:val="0"/>
                <w:numId w:val="8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utilizeze cunoștințele și abilitățile de comunicare  într-un mediu profesional, folosind tematicil</w:t>
            </w:r>
            <w:r w:rsidR="00E22DE3"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specifice domeniului medicinii dentare  </w:t>
            </w: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scopul promovării unui dialog intercultural și interdisciplinar;</w:t>
            </w:r>
          </w:p>
          <w:p w14:paraId="1EAFE3AE" w14:textId="48A5B18F" w:rsidR="00222969" w:rsidRPr="00222969" w:rsidRDefault="00531B81" w:rsidP="00222969">
            <w:pPr>
              <w:pStyle w:val="ListParagraph"/>
              <w:numPr>
                <w:ilvl w:val="0"/>
                <w:numId w:val="8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implementeze cunoștințele dobândite  în activitatea de cercetare/redactare a unor lucrări de specialitate în limba străină</w:t>
            </w:r>
            <w:r w:rsidR="00F32F84"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0B7EA4" w:rsidRPr="001E056C" w14:paraId="2DC27426" w14:textId="77777777" w:rsidTr="00163F52">
        <w:tc>
          <w:tcPr>
            <w:tcW w:w="2689" w:type="dxa"/>
            <w:shd w:val="clear" w:color="auto" w:fill="DEEAF6" w:themeFill="accent1" w:themeFillTint="33"/>
          </w:tcPr>
          <w:p w14:paraId="0C341960" w14:textId="77777777" w:rsidR="000B7EA4" w:rsidRPr="00121550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215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 de evaluare</w:t>
            </w:r>
          </w:p>
        </w:tc>
        <w:tc>
          <w:tcPr>
            <w:tcW w:w="6682" w:type="dxa"/>
            <w:gridSpan w:val="4"/>
          </w:tcPr>
          <w:p w14:paraId="45BE39F6" w14:textId="3F1765D1" w:rsidR="000B7EA4" w:rsidRPr="00121550" w:rsidRDefault="003D2346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E*/ E</w:t>
            </w:r>
          </w:p>
        </w:tc>
      </w:tr>
    </w:tbl>
    <w:p w14:paraId="17EEB138" w14:textId="77777777" w:rsidR="000B7EA4" w:rsidRDefault="000B7EA4" w:rsidP="000B7E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B117BE6" w14:textId="77777777" w:rsidR="00086B9E" w:rsidRDefault="00086B9E" w:rsidP="000B7E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8CAF621" w14:textId="77777777" w:rsidR="00086B9E" w:rsidRDefault="00086B9E" w:rsidP="000B7EA4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086B9E" w:rsidSect="006D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39D"/>
    <w:multiLevelType w:val="hybridMultilevel"/>
    <w:tmpl w:val="ADE6BACC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A44"/>
    <w:multiLevelType w:val="hybridMultilevel"/>
    <w:tmpl w:val="59B84DC2"/>
    <w:lvl w:ilvl="0" w:tplc="E6306BD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2B06"/>
    <w:multiLevelType w:val="hybridMultilevel"/>
    <w:tmpl w:val="8ABE350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03A8"/>
    <w:multiLevelType w:val="hybridMultilevel"/>
    <w:tmpl w:val="171609F6"/>
    <w:lvl w:ilvl="0" w:tplc="384C3D5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671F9"/>
    <w:multiLevelType w:val="hybridMultilevel"/>
    <w:tmpl w:val="147C57E6"/>
    <w:lvl w:ilvl="0" w:tplc="C7325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52F6B"/>
    <w:multiLevelType w:val="hybridMultilevel"/>
    <w:tmpl w:val="C7A6D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4295"/>
    <w:multiLevelType w:val="hybridMultilevel"/>
    <w:tmpl w:val="C596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060F2"/>
    <w:multiLevelType w:val="hybridMultilevel"/>
    <w:tmpl w:val="D452E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2191E"/>
    <w:multiLevelType w:val="hybridMultilevel"/>
    <w:tmpl w:val="48FE861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853A9"/>
    <w:multiLevelType w:val="hybridMultilevel"/>
    <w:tmpl w:val="B56207DC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11756"/>
    <w:multiLevelType w:val="hybridMultilevel"/>
    <w:tmpl w:val="D38C46C6"/>
    <w:lvl w:ilvl="0" w:tplc="9E56E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89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0B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A8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2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4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6F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A1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65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0B747EC"/>
    <w:multiLevelType w:val="hybridMultilevel"/>
    <w:tmpl w:val="55BC7806"/>
    <w:lvl w:ilvl="0" w:tplc="1F042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0D49"/>
    <w:multiLevelType w:val="hybridMultilevel"/>
    <w:tmpl w:val="086EA598"/>
    <w:lvl w:ilvl="0" w:tplc="2294CE5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A6916"/>
    <w:multiLevelType w:val="hybridMultilevel"/>
    <w:tmpl w:val="61509FBC"/>
    <w:lvl w:ilvl="0" w:tplc="85D0203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8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7EAE27EC"/>
    <w:multiLevelType w:val="hybridMultilevel"/>
    <w:tmpl w:val="9F54C746"/>
    <w:lvl w:ilvl="0" w:tplc="85323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65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61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6D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E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49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8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E8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A7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2"/>
  </w:num>
  <w:num w:numId="5">
    <w:abstractNumId w:val="3"/>
  </w:num>
  <w:num w:numId="6">
    <w:abstractNumId w:val="13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  <w:num w:numId="13">
    <w:abstractNumId w:val="6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B0"/>
    <w:rsid w:val="00006DE3"/>
    <w:rsid w:val="00013F49"/>
    <w:rsid w:val="00045990"/>
    <w:rsid w:val="00063ADA"/>
    <w:rsid w:val="00086B9E"/>
    <w:rsid w:val="0009359B"/>
    <w:rsid w:val="000B7EA4"/>
    <w:rsid w:val="000C67F5"/>
    <w:rsid w:val="00121550"/>
    <w:rsid w:val="00163F52"/>
    <w:rsid w:val="001B7667"/>
    <w:rsid w:val="001E056C"/>
    <w:rsid w:val="00222969"/>
    <w:rsid w:val="0025529E"/>
    <w:rsid w:val="00270190"/>
    <w:rsid w:val="00277D62"/>
    <w:rsid w:val="002B099F"/>
    <w:rsid w:val="00335FF9"/>
    <w:rsid w:val="00347E2D"/>
    <w:rsid w:val="00347F53"/>
    <w:rsid w:val="003D2346"/>
    <w:rsid w:val="00452E79"/>
    <w:rsid w:val="004550B3"/>
    <w:rsid w:val="004710AD"/>
    <w:rsid w:val="00472F85"/>
    <w:rsid w:val="004C6BDD"/>
    <w:rsid w:val="00531B81"/>
    <w:rsid w:val="005358D6"/>
    <w:rsid w:val="00623D0C"/>
    <w:rsid w:val="00630818"/>
    <w:rsid w:val="006648AA"/>
    <w:rsid w:val="00677DC2"/>
    <w:rsid w:val="006B7BBE"/>
    <w:rsid w:val="006D5C05"/>
    <w:rsid w:val="007939FF"/>
    <w:rsid w:val="007C6698"/>
    <w:rsid w:val="007D18F2"/>
    <w:rsid w:val="00862686"/>
    <w:rsid w:val="00871038"/>
    <w:rsid w:val="00893506"/>
    <w:rsid w:val="008D4D58"/>
    <w:rsid w:val="008D6313"/>
    <w:rsid w:val="00937FCD"/>
    <w:rsid w:val="009B765D"/>
    <w:rsid w:val="009C7658"/>
    <w:rsid w:val="00A36556"/>
    <w:rsid w:val="00AD75B5"/>
    <w:rsid w:val="00AF4C90"/>
    <w:rsid w:val="00B842C1"/>
    <w:rsid w:val="00B9641A"/>
    <w:rsid w:val="00BC0C41"/>
    <w:rsid w:val="00BE6FF3"/>
    <w:rsid w:val="00C02C9F"/>
    <w:rsid w:val="00C95E33"/>
    <w:rsid w:val="00CB44CC"/>
    <w:rsid w:val="00D17539"/>
    <w:rsid w:val="00D2151B"/>
    <w:rsid w:val="00D67F6D"/>
    <w:rsid w:val="00D74313"/>
    <w:rsid w:val="00DB0DAB"/>
    <w:rsid w:val="00DC2943"/>
    <w:rsid w:val="00DE53B0"/>
    <w:rsid w:val="00E22DE3"/>
    <w:rsid w:val="00E237D8"/>
    <w:rsid w:val="00E53EEA"/>
    <w:rsid w:val="00EE45F0"/>
    <w:rsid w:val="00F24C0E"/>
    <w:rsid w:val="00F32F84"/>
    <w:rsid w:val="00F54B73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C226"/>
  <w15:docId w15:val="{857D3CBA-3B8D-4DE2-8410-42D72072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C05"/>
  </w:style>
  <w:style w:type="paragraph" w:styleId="Heading1">
    <w:name w:val="heading 1"/>
    <w:basedOn w:val="Normal"/>
    <w:next w:val="Normal"/>
    <w:link w:val="Heading1Char"/>
    <w:qFormat/>
    <w:rsid w:val="00F32F8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7B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B9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5358D6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BodyTextIndentChar">
    <w:name w:val="Body Text Indent Char"/>
    <w:basedOn w:val="DefaultParagraphFont"/>
    <w:link w:val="BodyTextIndent"/>
    <w:rsid w:val="005358D6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styleId="Strong">
    <w:name w:val="Strong"/>
    <w:basedOn w:val="DefaultParagraphFont"/>
    <w:uiPriority w:val="22"/>
    <w:qFormat/>
    <w:rsid w:val="001E056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32F84"/>
    <w:rPr>
      <w:rFonts w:ascii="Times New Roman" w:eastAsia="Times New Roman" w:hAnsi="Times New Roman" w:cs="Times New Roman"/>
      <w:b/>
      <w:bCs/>
      <w:sz w:val="28"/>
      <w:szCs w:val="24"/>
      <w:lang w:val="ro-RO" w:eastAsia="ru-RU"/>
    </w:rPr>
  </w:style>
  <w:style w:type="paragraph" w:customStyle="1" w:styleId="Default">
    <w:name w:val="Default"/>
    <w:rsid w:val="00B96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Limbi moderne</cp:lastModifiedBy>
  <cp:revision>3</cp:revision>
  <cp:lastPrinted>2021-04-05T12:21:00Z</cp:lastPrinted>
  <dcterms:created xsi:type="dcterms:W3CDTF">2025-03-10T10:45:00Z</dcterms:created>
  <dcterms:modified xsi:type="dcterms:W3CDTF">2025-03-10T11:23:00Z</dcterms:modified>
</cp:coreProperties>
</file>